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524" w14:textId="111D16B3" w:rsidR="00E552B2" w:rsidRPr="002F00DD" w:rsidRDefault="005A78F2" w:rsidP="00915B23">
      <w:pPr>
        <w:jc w:val="center"/>
        <w:rPr>
          <w:sz w:val="24"/>
        </w:rPr>
      </w:pPr>
      <w:r w:rsidRPr="00DD44CB">
        <w:rPr>
          <w:sz w:val="24"/>
        </w:rPr>
        <w:t xml:space="preserve">LETTER </w:t>
      </w:r>
      <w:r w:rsidRPr="002F00DD">
        <w:rPr>
          <w:sz w:val="24"/>
        </w:rPr>
        <w:t>OF MEDICAL NECESSITY</w:t>
      </w:r>
    </w:p>
    <w:p w14:paraId="5297BA8B" w14:textId="23FC8315" w:rsidR="00906BB4" w:rsidRDefault="005A78F2" w:rsidP="005A78F2">
      <w:pPr>
        <w:jc w:val="center"/>
        <w:rPr>
          <w:b/>
          <w:sz w:val="28"/>
        </w:rPr>
      </w:pPr>
      <w:r w:rsidRPr="002F00DD">
        <w:rPr>
          <w:b/>
          <w:sz w:val="28"/>
        </w:rPr>
        <w:t xml:space="preserve">Use of </w:t>
      </w:r>
      <w:r w:rsidR="00CF1604" w:rsidRPr="002F00DD">
        <w:rPr>
          <w:b/>
          <w:sz w:val="28"/>
        </w:rPr>
        <w:t>ONPATTRO</w:t>
      </w:r>
      <w:r w:rsidR="00667E94" w:rsidRPr="00667E94">
        <w:rPr>
          <w:b/>
          <w:sz w:val="28"/>
        </w:rPr>
        <w:t>®</w:t>
      </w:r>
      <w:r w:rsidRPr="002F00DD">
        <w:rPr>
          <w:b/>
          <w:sz w:val="28"/>
        </w:rPr>
        <w:t xml:space="preserve"> (</w:t>
      </w:r>
      <w:r w:rsidR="00316F1D">
        <w:rPr>
          <w:b/>
          <w:sz w:val="28"/>
        </w:rPr>
        <w:t>patisiran</w:t>
      </w:r>
      <w:r w:rsidRPr="002F00DD">
        <w:rPr>
          <w:b/>
          <w:sz w:val="28"/>
        </w:rPr>
        <w:t xml:space="preserve">) for </w:t>
      </w:r>
    </w:p>
    <w:p w14:paraId="0BE88C37" w14:textId="293D7CFE" w:rsidR="005A78F2" w:rsidRPr="002F00DD" w:rsidRDefault="0003115A" w:rsidP="005A78F2">
      <w:pPr>
        <w:jc w:val="center"/>
        <w:rPr>
          <w:b/>
          <w:sz w:val="28"/>
        </w:rPr>
      </w:pPr>
      <w:r w:rsidRPr="002F00DD">
        <w:rPr>
          <w:b/>
          <w:sz w:val="28"/>
        </w:rPr>
        <w:t xml:space="preserve">the polyneuropathy of </w:t>
      </w:r>
      <w:r w:rsidR="005A78F2" w:rsidRPr="002F00DD">
        <w:rPr>
          <w:b/>
          <w:sz w:val="28"/>
        </w:rPr>
        <w:t xml:space="preserve">hereditary </w:t>
      </w:r>
      <w:r w:rsidR="00B86FA2">
        <w:rPr>
          <w:b/>
          <w:sz w:val="28"/>
        </w:rPr>
        <w:t>transthyretin-mediate</w:t>
      </w:r>
      <w:r w:rsidR="00063F88">
        <w:rPr>
          <w:b/>
          <w:sz w:val="28"/>
        </w:rPr>
        <w:t>d</w:t>
      </w:r>
      <w:r w:rsidR="00B86FA2">
        <w:rPr>
          <w:b/>
          <w:sz w:val="28"/>
        </w:rPr>
        <w:t xml:space="preserve"> (h</w:t>
      </w:r>
      <w:r w:rsidR="005A78F2" w:rsidRPr="002F00DD">
        <w:rPr>
          <w:b/>
          <w:sz w:val="28"/>
        </w:rPr>
        <w:t>ATTR</w:t>
      </w:r>
      <w:r w:rsidR="00B86FA2">
        <w:rPr>
          <w:b/>
          <w:sz w:val="28"/>
        </w:rPr>
        <w:t>)</w:t>
      </w:r>
      <w:r w:rsidR="005A78F2" w:rsidRPr="002F00DD">
        <w:rPr>
          <w:b/>
          <w:sz w:val="28"/>
        </w:rPr>
        <w:t xml:space="preserve"> amyloidosis  </w:t>
      </w:r>
    </w:p>
    <w:p w14:paraId="488317ED" w14:textId="77777777" w:rsidR="00FF3BB2" w:rsidRPr="002F00DD" w:rsidRDefault="00FF3BB2" w:rsidP="00FF3BB2">
      <w:pPr>
        <w:spacing w:line="240" w:lineRule="auto"/>
        <w:rPr>
          <w:i/>
          <w:color w:val="7F7F7F" w:themeColor="text1" w:themeTint="80"/>
          <w:sz w:val="16"/>
        </w:rPr>
      </w:pPr>
      <w:r>
        <w:rPr>
          <w:b/>
          <w:sz w:val="28"/>
        </w:rPr>
        <w:t xml:space="preserve">To the HCP: </w:t>
      </w:r>
      <w:r w:rsidRPr="004431CE">
        <w:rPr>
          <w:sz w:val="28"/>
        </w:rPr>
        <w:t xml:space="preserve">The following is a sample letter of medical necessity </w:t>
      </w:r>
      <w:r>
        <w:rPr>
          <w:sz w:val="28"/>
        </w:rPr>
        <w:t xml:space="preserve">template </w:t>
      </w:r>
      <w:r w:rsidRPr="004431CE">
        <w:rPr>
          <w:sz w:val="28"/>
        </w:rPr>
        <w:t>that can be customized based on your patient’s medical history and demographic information</w:t>
      </w:r>
      <w:r>
        <w:rPr>
          <w:sz w:val="28"/>
        </w:rPr>
        <w:t xml:space="preserve"> using your independent clinical judgment</w:t>
      </w:r>
      <w:r w:rsidRPr="004431CE">
        <w:rPr>
          <w:sz w:val="28"/>
        </w:rPr>
        <w:t xml:space="preserve">. You are responsible for providing information that completely and accurately represents </w:t>
      </w:r>
      <w:r>
        <w:rPr>
          <w:sz w:val="28"/>
        </w:rPr>
        <w:t>your</w:t>
      </w:r>
      <w:r w:rsidRPr="004431CE">
        <w:rPr>
          <w:sz w:val="28"/>
        </w:rPr>
        <w:t xml:space="preserve"> patient’s circumstances.  Please note that some payers may have specific forms that must be completed </w:t>
      </w:r>
      <w:proofErr w:type="gramStart"/>
      <w:r w:rsidRPr="004431CE">
        <w:rPr>
          <w:sz w:val="28"/>
        </w:rPr>
        <w:t>in order to</w:t>
      </w:r>
      <w:proofErr w:type="gramEnd"/>
      <w:r w:rsidRPr="004431CE">
        <w:rPr>
          <w:sz w:val="28"/>
        </w:rPr>
        <w:t xml:space="preserve"> request prior authorization or to document medical necessity. Use of this document does not guarantee </w:t>
      </w:r>
      <w:r>
        <w:rPr>
          <w:sz w:val="28"/>
        </w:rPr>
        <w:t xml:space="preserve">coverage or </w:t>
      </w:r>
      <w:r w:rsidRPr="004431CE">
        <w:rPr>
          <w:sz w:val="28"/>
        </w:rPr>
        <w:t>reimbursement</w:t>
      </w:r>
      <w:r w:rsidRPr="009A607A">
        <w:rPr>
          <w:sz w:val="28"/>
        </w:rPr>
        <w:t xml:space="preserve"> by any third-party payer.</w:t>
      </w:r>
    </w:p>
    <w:p w14:paraId="7357E37B" w14:textId="7CD67E8B" w:rsidR="005A78F2" w:rsidRPr="002F00DD" w:rsidRDefault="005A78F2" w:rsidP="009A484C">
      <w:pPr>
        <w:rPr>
          <w:i/>
          <w:color w:val="7F7F7F" w:themeColor="text1" w:themeTint="8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76AE" w:rsidRPr="002F00DD" w14:paraId="4C7AC280" w14:textId="77777777" w:rsidTr="00DD44CB">
        <w:tc>
          <w:tcPr>
            <w:tcW w:w="4675" w:type="dxa"/>
            <w:vAlign w:val="center"/>
          </w:tcPr>
          <w:p w14:paraId="0DBEED28" w14:textId="77777777" w:rsidR="00F94D1D" w:rsidRPr="002F00DD" w:rsidRDefault="00F94D1D" w:rsidP="00DD44CB">
            <w:pPr>
              <w:spacing w:line="360" w:lineRule="auto"/>
              <w:rPr>
                <w:color w:val="7F7F7F" w:themeColor="text1" w:themeTint="80"/>
              </w:rPr>
            </w:pPr>
            <w:r w:rsidRPr="002F00DD">
              <w:rPr>
                <w:color w:val="7F7F7F" w:themeColor="text1" w:themeTint="80"/>
              </w:rPr>
              <w:t>[Date]</w:t>
            </w:r>
          </w:p>
        </w:tc>
        <w:tc>
          <w:tcPr>
            <w:tcW w:w="4675" w:type="dxa"/>
            <w:vAlign w:val="center"/>
          </w:tcPr>
          <w:p w14:paraId="709CDA97" w14:textId="77777777" w:rsidR="00F94D1D" w:rsidRPr="002F00DD" w:rsidRDefault="009D278B" w:rsidP="00DD44CB">
            <w:pPr>
              <w:spacing w:line="360" w:lineRule="auto"/>
              <w:jc w:val="right"/>
              <w:rPr>
                <w:color w:val="7F7F7F" w:themeColor="text1" w:themeTint="80"/>
              </w:rPr>
            </w:pPr>
            <w:r w:rsidRPr="002F00DD">
              <w:rPr>
                <w:color w:val="7F7F7F" w:themeColor="text1" w:themeTint="80"/>
              </w:rPr>
              <w:t xml:space="preserve">       </w:t>
            </w:r>
            <w:r w:rsidRPr="002F00DD">
              <w:rPr>
                <w:color w:val="000000" w:themeColor="text1"/>
              </w:rPr>
              <w:t xml:space="preserve">RE:   </w:t>
            </w:r>
            <w:r w:rsidRPr="002F00DD">
              <w:rPr>
                <w:color w:val="7F7F7F" w:themeColor="text1" w:themeTint="80"/>
              </w:rPr>
              <w:t>[Patient Name]</w:t>
            </w:r>
          </w:p>
        </w:tc>
      </w:tr>
      <w:tr w:rsidR="00F776AE" w:rsidRPr="002F00DD" w14:paraId="767FA9DC" w14:textId="77777777" w:rsidTr="00DD44CB">
        <w:tc>
          <w:tcPr>
            <w:tcW w:w="4675" w:type="dxa"/>
            <w:vAlign w:val="center"/>
          </w:tcPr>
          <w:p w14:paraId="1C8474DB" w14:textId="77777777" w:rsidR="00F94D1D" w:rsidRPr="002F00DD" w:rsidRDefault="009D278B" w:rsidP="00DD44CB">
            <w:pPr>
              <w:spacing w:line="360" w:lineRule="auto"/>
              <w:rPr>
                <w:color w:val="7F7F7F" w:themeColor="text1" w:themeTint="80"/>
              </w:rPr>
            </w:pPr>
            <w:r w:rsidRPr="002F00DD">
              <w:rPr>
                <w:color w:val="7F7F7F" w:themeColor="text1" w:themeTint="80"/>
              </w:rPr>
              <w:t>[Medical Director Name]</w:t>
            </w:r>
          </w:p>
        </w:tc>
        <w:tc>
          <w:tcPr>
            <w:tcW w:w="4675" w:type="dxa"/>
            <w:vAlign w:val="center"/>
          </w:tcPr>
          <w:p w14:paraId="2083AC8F" w14:textId="77777777" w:rsidR="00F94D1D" w:rsidRPr="002F00DD" w:rsidRDefault="009D278B" w:rsidP="00DD44CB">
            <w:pPr>
              <w:spacing w:line="360" w:lineRule="auto"/>
              <w:jc w:val="right"/>
              <w:rPr>
                <w:color w:val="7F7F7F" w:themeColor="text1" w:themeTint="80"/>
              </w:rPr>
            </w:pPr>
            <w:r w:rsidRPr="002F00DD">
              <w:rPr>
                <w:color w:val="7F7F7F" w:themeColor="text1" w:themeTint="80"/>
              </w:rPr>
              <w:t>[Group Number]</w:t>
            </w:r>
          </w:p>
        </w:tc>
      </w:tr>
      <w:tr w:rsidR="00F776AE" w:rsidRPr="002F00DD" w14:paraId="59FB7863" w14:textId="77777777" w:rsidTr="00DD44CB">
        <w:tc>
          <w:tcPr>
            <w:tcW w:w="4675" w:type="dxa"/>
            <w:vAlign w:val="center"/>
          </w:tcPr>
          <w:p w14:paraId="1AA45ACE" w14:textId="77777777" w:rsidR="00F94D1D" w:rsidRPr="002F00DD" w:rsidRDefault="009D278B" w:rsidP="00DD44CB">
            <w:pPr>
              <w:spacing w:line="360" w:lineRule="auto"/>
              <w:rPr>
                <w:color w:val="7F7F7F" w:themeColor="text1" w:themeTint="80"/>
              </w:rPr>
            </w:pPr>
            <w:r w:rsidRPr="002F00DD">
              <w:rPr>
                <w:color w:val="7F7F7F" w:themeColor="text1" w:themeTint="80"/>
              </w:rPr>
              <w:t>[Payer Name]</w:t>
            </w:r>
            <w:r w:rsidRPr="002F00DD">
              <w:rPr>
                <w:color w:val="7F7F7F" w:themeColor="text1" w:themeTint="80"/>
              </w:rPr>
              <w:tab/>
            </w:r>
          </w:p>
        </w:tc>
        <w:tc>
          <w:tcPr>
            <w:tcW w:w="4675" w:type="dxa"/>
            <w:vAlign w:val="center"/>
          </w:tcPr>
          <w:p w14:paraId="2E3C4A4F" w14:textId="77777777" w:rsidR="00F94D1D" w:rsidRPr="002F00DD" w:rsidRDefault="009D278B" w:rsidP="00DD44CB">
            <w:pPr>
              <w:spacing w:line="360" w:lineRule="auto"/>
              <w:jc w:val="right"/>
              <w:rPr>
                <w:color w:val="7F7F7F" w:themeColor="text1" w:themeTint="80"/>
              </w:rPr>
            </w:pPr>
            <w:r w:rsidRPr="002F00DD">
              <w:rPr>
                <w:color w:val="7F7F7F" w:themeColor="text1" w:themeTint="80"/>
              </w:rPr>
              <w:t xml:space="preserve">              [Policy Number]</w:t>
            </w:r>
          </w:p>
        </w:tc>
      </w:tr>
      <w:tr w:rsidR="00F776AE" w:rsidRPr="002F00DD" w14:paraId="63479187" w14:textId="77777777" w:rsidTr="00DD44CB">
        <w:tc>
          <w:tcPr>
            <w:tcW w:w="4675" w:type="dxa"/>
            <w:vAlign w:val="center"/>
          </w:tcPr>
          <w:p w14:paraId="1F4656F1" w14:textId="77777777" w:rsidR="00F94D1D" w:rsidRPr="002F00DD" w:rsidRDefault="009D278B" w:rsidP="00DD44CB">
            <w:pPr>
              <w:spacing w:line="360" w:lineRule="auto"/>
              <w:rPr>
                <w:color w:val="7F7F7F" w:themeColor="text1" w:themeTint="80"/>
              </w:rPr>
            </w:pPr>
            <w:r w:rsidRPr="002F00DD">
              <w:rPr>
                <w:color w:val="7F7F7F" w:themeColor="text1" w:themeTint="80"/>
              </w:rPr>
              <w:t>[Payer Address Line 1]</w:t>
            </w:r>
            <w:r w:rsidRPr="002F00DD">
              <w:rPr>
                <w:color w:val="7F7F7F" w:themeColor="text1" w:themeTint="80"/>
              </w:rPr>
              <w:tab/>
            </w:r>
          </w:p>
        </w:tc>
        <w:tc>
          <w:tcPr>
            <w:tcW w:w="4675" w:type="dxa"/>
            <w:vAlign w:val="center"/>
          </w:tcPr>
          <w:p w14:paraId="68822162" w14:textId="77777777" w:rsidR="00F94D1D" w:rsidRPr="002F00DD" w:rsidRDefault="009D278B" w:rsidP="00DD44CB">
            <w:pPr>
              <w:spacing w:line="360" w:lineRule="auto"/>
              <w:jc w:val="right"/>
              <w:rPr>
                <w:color w:val="7F7F7F" w:themeColor="text1" w:themeTint="80"/>
              </w:rPr>
            </w:pPr>
            <w:r w:rsidRPr="002F00DD">
              <w:rPr>
                <w:color w:val="7F7F7F" w:themeColor="text1" w:themeTint="80"/>
              </w:rPr>
              <w:t>[Claim Number]</w:t>
            </w:r>
          </w:p>
        </w:tc>
      </w:tr>
      <w:tr w:rsidR="00F776AE" w:rsidRPr="002F00DD" w14:paraId="2ADC81D1" w14:textId="77777777" w:rsidTr="00DD44CB">
        <w:tc>
          <w:tcPr>
            <w:tcW w:w="4675" w:type="dxa"/>
            <w:vAlign w:val="center"/>
          </w:tcPr>
          <w:p w14:paraId="4BA6DB95" w14:textId="77777777" w:rsidR="00F94D1D" w:rsidRPr="002F00DD" w:rsidRDefault="009D278B" w:rsidP="00DD44CB">
            <w:pPr>
              <w:spacing w:line="360" w:lineRule="auto"/>
              <w:rPr>
                <w:color w:val="7F7F7F" w:themeColor="text1" w:themeTint="80"/>
              </w:rPr>
            </w:pPr>
            <w:r w:rsidRPr="002F00DD">
              <w:rPr>
                <w:color w:val="7F7F7F" w:themeColor="text1" w:themeTint="80"/>
              </w:rPr>
              <w:t>[Payer City, State, ZIP]</w:t>
            </w:r>
            <w:r w:rsidRPr="002F00DD">
              <w:rPr>
                <w:color w:val="7F7F7F" w:themeColor="text1" w:themeTint="80"/>
              </w:rPr>
              <w:tab/>
            </w:r>
          </w:p>
        </w:tc>
        <w:tc>
          <w:tcPr>
            <w:tcW w:w="4675" w:type="dxa"/>
            <w:vAlign w:val="center"/>
          </w:tcPr>
          <w:p w14:paraId="5B42C06A" w14:textId="77777777" w:rsidR="00F94D1D" w:rsidRPr="002F00DD" w:rsidRDefault="009D278B" w:rsidP="00DD44CB">
            <w:pPr>
              <w:spacing w:line="360" w:lineRule="auto"/>
              <w:jc w:val="right"/>
              <w:rPr>
                <w:color w:val="7F7F7F" w:themeColor="text1" w:themeTint="80"/>
              </w:rPr>
            </w:pPr>
            <w:r w:rsidRPr="002F00DD">
              <w:rPr>
                <w:color w:val="7F7F7F" w:themeColor="text1" w:themeTint="80"/>
              </w:rPr>
              <w:t xml:space="preserve">         [Diagnosis, ICD-10]</w:t>
            </w:r>
          </w:p>
        </w:tc>
      </w:tr>
    </w:tbl>
    <w:p w14:paraId="686D0A90" w14:textId="77777777" w:rsidR="009D278B" w:rsidRPr="002F00DD" w:rsidRDefault="009D278B" w:rsidP="005A78F2"/>
    <w:p w14:paraId="3A3B15C6" w14:textId="77777777" w:rsidR="000C7160" w:rsidRPr="002F00DD" w:rsidRDefault="000C7160" w:rsidP="00FF3BB2">
      <w:pPr>
        <w:spacing w:line="240" w:lineRule="auto"/>
      </w:pPr>
      <w:r w:rsidRPr="002F00DD">
        <w:t xml:space="preserve">Dear </w:t>
      </w:r>
      <w:r w:rsidR="00CE1193" w:rsidRPr="002F00DD">
        <w:rPr>
          <w:color w:val="7F7F7F" w:themeColor="text1" w:themeTint="80"/>
        </w:rPr>
        <w:t>[</w:t>
      </w:r>
      <w:r w:rsidRPr="002F00DD">
        <w:rPr>
          <w:color w:val="7F7F7F" w:themeColor="text1" w:themeTint="80"/>
        </w:rPr>
        <w:t>Medical Director</w:t>
      </w:r>
      <w:r w:rsidR="00CE1193" w:rsidRPr="002F00DD">
        <w:rPr>
          <w:color w:val="7F7F7F" w:themeColor="text1" w:themeTint="80"/>
        </w:rPr>
        <w:t>]</w:t>
      </w:r>
      <w:r w:rsidR="00A75BDD" w:rsidRPr="002F00DD">
        <w:t>,</w:t>
      </w:r>
    </w:p>
    <w:p w14:paraId="07BF1025" w14:textId="2818F0A9" w:rsidR="00D03676" w:rsidRPr="002F00DD" w:rsidRDefault="000C7160" w:rsidP="00FF3BB2">
      <w:pPr>
        <w:spacing w:line="240" w:lineRule="auto"/>
      </w:pPr>
      <w:r w:rsidRPr="002F00DD">
        <w:t xml:space="preserve">I am writing </w:t>
      </w:r>
      <w:r w:rsidR="006F0789" w:rsidRPr="002F00DD">
        <w:t xml:space="preserve">this letter of medical necessity to </w:t>
      </w:r>
      <w:r w:rsidRPr="002F00DD">
        <w:t>request</w:t>
      </w:r>
      <w:r w:rsidR="006F0789" w:rsidRPr="002F00DD">
        <w:t xml:space="preserve"> that my patient, </w:t>
      </w:r>
      <w:r w:rsidR="006F0789" w:rsidRPr="002F00DD">
        <w:rPr>
          <w:color w:val="7F7F7F" w:themeColor="text1" w:themeTint="80"/>
        </w:rPr>
        <w:t>[insert patient name]</w:t>
      </w:r>
      <w:r w:rsidR="006F0789" w:rsidRPr="002F00DD">
        <w:t xml:space="preserve">, receive </w:t>
      </w:r>
      <w:r w:rsidR="00C91AD9">
        <w:t>ONPATTRO</w:t>
      </w:r>
      <w:r w:rsidR="000B54BD">
        <w:t xml:space="preserve"> (patisiran)</w:t>
      </w:r>
      <w:r w:rsidR="006F0789" w:rsidRPr="002F00DD">
        <w:t xml:space="preserve">, a product that </w:t>
      </w:r>
      <w:r w:rsidR="009D21C0">
        <w:t>is</w:t>
      </w:r>
      <w:r w:rsidR="006F0789" w:rsidRPr="002F00DD">
        <w:t xml:space="preserve"> approved by the United States Food and Drug Administration (FDA) for </w:t>
      </w:r>
      <w:r w:rsidR="0003115A" w:rsidRPr="002F00DD">
        <w:t xml:space="preserve">the treatment of </w:t>
      </w:r>
      <w:r w:rsidR="006E1C3D">
        <w:t xml:space="preserve">the </w:t>
      </w:r>
      <w:r w:rsidR="0003115A" w:rsidRPr="002F00DD">
        <w:t>polyneuropathy of hereditary transthyretin-</w:t>
      </w:r>
      <w:r w:rsidR="00005AE1" w:rsidRPr="002F00DD">
        <w:t xml:space="preserve">mediated (hATTR) </w:t>
      </w:r>
      <w:r w:rsidR="0003115A" w:rsidRPr="002F00DD">
        <w:t>amyloidosis in adults</w:t>
      </w:r>
      <w:r w:rsidR="006F0789" w:rsidRPr="002F00DD">
        <w:t>.</w:t>
      </w:r>
      <w:r w:rsidR="00B72C6D" w:rsidRPr="00B72C6D">
        <w:rPr>
          <w:rFonts w:ascii="Calibri" w:hAnsi="Calibri" w:cs="Calibri"/>
          <w:szCs w:val="24"/>
          <w:vertAlign w:val="superscript"/>
        </w:rPr>
        <w:t>1</w:t>
      </w:r>
      <w:r w:rsidR="00BA016C" w:rsidRPr="002F00DD">
        <w:t xml:space="preserve"> </w:t>
      </w:r>
      <w:bookmarkStart w:id="0" w:name="_Hlk509486849"/>
    </w:p>
    <w:bookmarkEnd w:id="0"/>
    <w:p w14:paraId="016E26B4" w14:textId="77777777" w:rsidR="006B3D81" w:rsidRDefault="006B3D81" w:rsidP="006B3D81">
      <w:pPr>
        <w:rPr>
          <w:b/>
        </w:rPr>
      </w:pPr>
    </w:p>
    <w:p w14:paraId="4355A7C6" w14:textId="11E10574" w:rsidR="006B3D81" w:rsidRPr="00DB4A1D" w:rsidRDefault="006B3D81" w:rsidP="00DB4A1D">
      <w:pPr>
        <w:pStyle w:val="ListParagraph"/>
        <w:numPr>
          <w:ilvl w:val="0"/>
          <w:numId w:val="17"/>
        </w:numPr>
        <w:rPr>
          <w:b/>
        </w:rPr>
      </w:pPr>
      <w:r w:rsidRPr="00DB4A1D">
        <w:rPr>
          <w:b/>
        </w:rPr>
        <w:t>Hereditary Transthyretin-mediated (hATTR) Amyloidosis Disease Overview</w:t>
      </w:r>
    </w:p>
    <w:p w14:paraId="108E0BE5" w14:textId="77777777" w:rsidR="00444303" w:rsidRDefault="00B72C6D" w:rsidP="00FF3BB2">
      <w:r w:rsidRPr="00D37DAA">
        <w:t xml:space="preserve">hATTR amyloidosis, also known as </w:t>
      </w:r>
      <w:proofErr w:type="spellStart"/>
      <w:r w:rsidRPr="00D37DAA">
        <w:t>ATTRv</w:t>
      </w:r>
      <w:proofErr w:type="spellEnd"/>
      <w:r w:rsidRPr="00D37DAA">
        <w:t xml:space="preserve"> amyloidosis, is a rare, autosomal-dominant, multisystem, rapidly progressive, and</w:t>
      </w:r>
      <w:r w:rsidR="000B54BD">
        <w:t xml:space="preserve"> often</w:t>
      </w:r>
      <w:r w:rsidRPr="00D37DAA">
        <w:t xml:space="preserve"> fatal disease that manifests in adulthood. The condition is caused by variants in the transthyretin (TTR) gene that lead to destabilization of the tetrameric TTR protein. Subsequent misfolding and accumulation of </w:t>
      </w:r>
      <w:r w:rsidRPr="00F97A16">
        <w:t>TTR as amyloid deposits</w:t>
      </w:r>
      <w:r w:rsidRPr="00D37DAA">
        <w:t xml:space="preserve"> in various tissues throughout the body lead to heterogenous clinical presentations</w:t>
      </w:r>
      <w:r>
        <w:t>, with</w:t>
      </w:r>
      <w:r w:rsidRPr="00A40C80">
        <w:rPr>
          <w:rFonts w:cstheme="minorHAnsi"/>
        </w:rPr>
        <w:t xml:space="preserve"> multi-system dysfunction, including intractable polyneuropathy (e.g., </w:t>
      </w:r>
      <w:r w:rsidRPr="00D37DAA">
        <w:rPr>
          <w:rFonts w:cstheme="minorHAnsi"/>
        </w:rPr>
        <w:t>sensorimotor neuropathy with pain and motor weakness and/or autonomic neuropathy such as diarrhea, orthostatic intolerance, sexual dysfunction</w:t>
      </w:r>
      <w:r w:rsidRPr="00A40C80">
        <w:rPr>
          <w:rFonts w:cstheme="minorHAnsi"/>
        </w:rPr>
        <w:t>) and cardiomyopathy, causing significant morbidity and mortality.</w:t>
      </w:r>
      <w:r w:rsidRPr="00B72C6D">
        <w:rPr>
          <w:rFonts w:ascii="Calibri" w:hAnsi="Calibri" w:cs="Calibri"/>
          <w:szCs w:val="24"/>
          <w:vertAlign w:val="superscript"/>
        </w:rPr>
        <w:t>2,3</w:t>
      </w:r>
      <w:r w:rsidRPr="00A40C80">
        <w:t xml:space="preserve"> Disease progression eventually leads to motor weakness, decreased pain sensation, generalized weakness, inability to perform activities of daily living, cachexia, loss of ambulation, and a progressive decline in physical functioning.</w:t>
      </w:r>
      <w:r w:rsidRPr="00B72C6D">
        <w:rPr>
          <w:rFonts w:ascii="Calibri" w:hAnsi="Calibri" w:cs="Calibri"/>
          <w:szCs w:val="24"/>
          <w:vertAlign w:val="superscript"/>
        </w:rPr>
        <w:t>4,5</w:t>
      </w:r>
      <w:r w:rsidDel="00B72C6D">
        <w:t xml:space="preserve"> </w:t>
      </w:r>
    </w:p>
    <w:p w14:paraId="081692F4" w14:textId="28B7F3B7" w:rsidR="00552A8B" w:rsidRDefault="00444303" w:rsidP="00444303">
      <w:pPr>
        <w:rPr>
          <w:bCs/>
        </w:rPr>
      </w:pPr>
      <w:r w:rsidRPr="00EC534A">
        <w:rPr>
          <w:bCs/>
        </w:rPr>
        <w:lastRenderedPageBreak/>
        <w:t>Organs and tissues impacted include the nerves, heart, and gastrointestinal (GI) tract. Therefore, patients with this hereditary disease experience a spectrum of clinical manifestations. hATTR amyloidosis is a progressive, fatal disease, with a median survival of 4.7 years from diagnosis.</w:t>
      </w:r>
      <w:r>
        <w:rPr>
          <w:bCs/>
          <w:vertAlign w:val="superscript"/>
        </w:rPr>
        <w:t>5,</w:t>
      </w:r>
      <w:r w:rsidR="00B27909">
        <w:rPr>
          <w:bCs/>
          <w:vertAlign w:val="superscript"/>
        </w:rPr>
        <w:t>6</w:t>
      </w:r>
    </w:p>
    <w:p w14:paraId="7F17051A" w14:textId="77777777" w:rsidR="00444303" w:rsidRPr="00EC534A" w:rsidRDefault="00444303" w:rsidP="00FF3BB2">
      <w:pPr>
        <w:rPr>
          <w:bCs/>
        </w:rPr>
      </w:pPr>
    </w:p>
    <w:p w14:paraId="2ADC32D7" w14:textId="460F1460" w:rsidR="00C42280" w:rsidRPr="00DB4A1D" w:rsidRDefault="00C42280" w:rsidP="00552A8B">
      <w:pPr>
        <w:pStyle w:val="ListParagraph"/>
        <w:numPr>
          <w:ilvl w:val="0"/>
          <w:numId w:val="17"/>
        </w:numPr>
        <w:rPr>
          <w:b/>
        </w:rPr>
      </w:pPr>
      <w:r w:rsidRPr="00DB4A1D">
        <w:rPr>
          <w:b/>
        </w:rPr>
        <w:t>Product Description</w:t>
      </w:r>
    </w:p>
    <w:p w14:paraId="2DDE4760" w14:textId="7791C844" w:rsidR="00AB6142" w:rsidRPr="002F00DD" w:rsidRDefault="009316F2" w:rsidP="00FF3BB2">
      <w:pPr>
        <w:spacing w:line="240" w:lineRule="auto"/>
      </w:pPr>
      <w:r>
        <w:t>ONPATTRO</w:t>
      </w:r>
      <w:r w:rsidR="00316F1D" w:rsidRPr="00316F1D">
        <w:t>®</w:t>
      </w:r>
      <w:r>
        <w:t xml:space="preserve"> contains </w:t>
      </w:r>
      <w:r w:rsidR="00316F1D">
        <w:t>patisiran</w:t>
      </w:r>
      <w:r w:rsidR="00005AE1" w:rsidRPr="002F00DD">
        <w:t xml:space="preserve">, </w:t>
      </w:r>
      <w:r w:rsidR="00D60296" w:rsidRPr="002F00DD">
        <w:t>a double-stranded siRNA that</w:t>
      </w:r>
      <w:r w:rsidR="00C42280" w:rsidRPr="002F00DD">
        <w:t xml:space="preserve"> </w:t>
      </w:r>
      <w:r w:rsidR="00D60296" w:rsidRPr="002F00DD">
        <w:t xml:space="preserve">causes degradation of mutant and wild-type TTR mRNA through RNA interference, </w:t>
      </w:r>
      <w:r w:rsidR="00341612">
        <w:t xml:space="preserve">reducing </w:t>
      </w:r>
      <w:r w:rsidR="00D60296" w:rsidRPr="002F00DD">
        <w:t>serum TTR protein</w:t>
      </w:r>
      <w:r w:rsidR="00051B2A" w:rsidRPr="002F00DD">
        <w:t xml:space="preserve"> levels</w:t>
      </w:r>
      <w:r w:rsidR="00D60296" w:rsidRPr="002F00DD">
        <w:t xml:space="preserve"> and TTR protein </w:t>
      </w:r>
      <w:r w:rsidR="00051B2A" w:rsidRPr="002F00DD">
        <w:t>deposition</w:t>
      </w:r>
      <w:r w:rsidR="00D60296" w:rsidRPr="002F00DD">
        <w:t xml:space="preserve"> in tissues</w:t>
      </w:r>
      <w:r w:rsidR="00C42280" w:rsidRPr="002F00DD">
        <w:t>.</w:t>
      </w:r>
      <w:r w:rsidR="00B72C6D" w:rsidRPr="00B72C6D">
        <w:rPr>
          <w:rFonts w:ascii="Calibri" w:hAnsi="Calibri" w:cs="Calibri"/>
          <w:szCs w:val="24"/>
          <w:vertAlign w:val="superscript"/>
        </w:rPr>
        <w:t>1</w:t>
      </w:r>
      <w:r w:rsidR="00C42280" w:rsidRPr="002F00DD">
        <w:t xml:space="preserve"> </w:t>
      </w:r>
      <w:r w:rsidR="00C00533" w:rsidRPr="002F00DD">
        <w:t xml:space="preserve">Support for </w:t>
      </w:r>
      <w:r w:rsidR="00317B8D" w:rsidRPr="002F00DD">
        <w:t xml:space="preserve">the efficacy and safety of </w:t>
      </w:r>
      <w:r w:rsidR="00316F1D">
        <w:t>ONPATTRO</w:t>
      </w:r>
      <w:r w:rsidR="00FE7D62" w:rsidRPr="002F00DD">
        <w:t xml:space="preserve"> </w:t>
      </w:r>
      <w:r w:rsidR="00317B8D" w:rsidRPr="002F00DD">
        <w:t>consists of data from the treatment of adult</w:t>
      </w:r>
      <w:r w:rsidR="007D3DCA">
        <w:t>s</w:t>
      </w:r>
      <w:r w:rsidR="009B2BAE">
        <w:t xml:space="preserve"> wi</w:t>
      </w:r>
      <w:r w:rsidR="00CF39F4">
        <w:t>th hATTR amyloidosis with polyneuropathy</w:t>
      </w:r>
      <w:r w:rsidR="00317B8D" w:rsidRPr="002F00DD">
        <w:t xml:space="preserve"> in a </w:t>
      </w:r>
      <w:r w:rsidR="00681FEA" w:rsidRPr="002F00DD">
        <w:t xml:space="preserve">Phase 3 </w:t>
      </w:r>
      <w:r w:rsidR="00317B8D" w:rsidRPr="002F00DD">
        <w:t>randomized</w:t>
      </w:r>
      <w:r w:rsidR="00F0535E" w:rsidRPr="002F00DD">
        <w:t>, placebo</w:t>
      </w:r>
      <w:r w:rsidR="00197214" w:rsidRPr="002F00DD">
        <w:t>-</w:t>
      </w:r>
      <w:r w:rsidR="00317B8D" w:rsidRPr="002F00DD">
        <w:t>controlled trial</w:t>
      </w:r>
      <w:r w:rsidR="0066501D" w:rsidRPr="002F00DD">
        <w:t xml:space="preserve"> </w:t>
      </w:r>
      <w:r w:rsidR="00F0535E" w:rsidRPr="002F00DD">
        <w:t>(</w:t>
      </w:r>
      <w:r w:rsidR="0066501D" w:rsidRPr="002F00DD">
        <w:t>APOLLO</w:t>
      </w:r>
      <w:r w:rsidR="003412E6">
        <w:t xml:space="preserve">: </w:t>
      </w:r>
      <w:r w:rsidR="003412E6" w:rsidRPr="00474ED0">
        <w:t>NCT01960348</w:t>
      </w:r>
      <w:r w:rsidR="00F0535E" w:rsidRPr="002F00DD">
        <w:t>)</w:t>
      </w:r>
      <w:r w:rsidR="00317B8D" w:rsidRPr="002F00DD">
        <w:t xml:space="preserve"> and </w:t>
      </w:r>
      <w:r w:rsidR="00ED6FDE">
        <w:t xml:space="preserve">an </w:t>
      </w:r>
      <w:r w:rsidR="00317B8D" w:rsidRPr="002F00DD">
        <w:t xml:space="preserve">long-term </w:t>
      </w:r>
      <w:r w:rsidR="00EC4ED0">
        <w:t xml:space="preserve">open-label </w:t>
      </w:r>
      <w:r w:rsidR="00317B8D" w:rsidRPr="002F00DD">
        <w:t>extension stud</w:t>
      </w:r>
      <w:r w:rsidR="00ED6FDE">
        <w:t>y</w:t>
      </w:r>
      <w:r w:rsidR="000851CD">
        <w:t xml:space="preserve"> (Global OLE</w:t>
      </w:r>
      <w:r w:rsidR="003412E6">
        <w:t xml:space="preserve">: </w:t>
      </w:r>
      <w:r w:rsidR="003412E6" w:rsidRPr="00474ED0">
        <w:t>NCT02510261</w:t>
      </w:r>
      <w:r w:rsidR="000851CD">
        <w:t>)</w:t>
      </w:r>
      <w:r w:rsidR="00317B8D" w:rsidRPr="002F00DD">
        <w:t>.</w:t>
      </w:r>
      <w:r w:rsidR="00444303">
        <w:rPr>
          <w:rFonts w:ascii="Calibri" w:hAnsi="Calibri" w:cs="Calibri"/>
          <w:szCs w:val="24"/>
          <w:vertAlign w:val="superscript"/>
        </w:rPr>
        <w:t>7</w:t>
      </w:r>
      <w:r w:rsidR="00B72C6D" w:rsidRPr="00B72C6D">
        <w:rPr>
          <w:rFonts w:ascii="Calibri" w:hAnsi="Calibri" w:cs="Calibri"/>
          <w:szCs w:val="24"/>
          <w:vertAlign w:val="superscript"/>
        </w:rPr>
        <w:t>,</w:t>
      </w:r>
      <w:r w:rsidR="00444303">
        <w:rPr>
          <w:rFonts w:ascii="Calibri" w:hAnsi="Calibri" w:cs="Calibri"/>
          <w:szCs w:val="24"/>
          <w:vertAlign w:val="superscript"/>
        </w:rPr>
        <w:t>8</w:t>
      </w:r>
      <w:r w:rsidR="00E13A69" w:rsidRPr="002F00DD">
        <w:t xml:space="preserve"> </w:t>
      </w:r>
    </w:p>
    <w:p w14:paraId="314D95E9" w14:textId="77777777" w:rsidR="003C4BED" w:rsidRPr="002F00DD" w:rsidRDefault="003C4BED" w:rsidP="00FF3BB2">
      <w:pPr>
        <w:spacing w:line="240" w:lineRule="auto"/>
        <w:rPr>
          <w:rFonts w:ascii="Times New Roman" w:hAnsi="Times New Roman"/>
          <w:sz w:val="24"/>
          <w:szCs w:val="24"/>
        </w:rPr>
      </w:pPr>
    </w:p>
    <w:p w14:paraId="4365034B" w14:textId="77777777" w:rsidR="00DF1A41" w:rsidRPr="00DB4A1D" w:rsidRDefault="00DF1A41" w:rsidP="00DB4A1D">
      <w:pPr>
        <w:pStyle w:val="ListParagraph"/>
        <w:numPr>
          <w:ilvl w:val="0"/>
          <w:numId w:val="17"/>
        </w:numPr>
        <w:spacing w:line="240" w:lineRule="auto"/>
        <w:rPr>
          <w:b/>
        </w:rPr>
      </w:pPr>
      <w:r w:rsidRPr="00DB4A1D">
        <w:rPr>
          <w:b/>
        </w:rPr>
        <w:t>Rationale for Treatment</w:t>
      </w:r>
    </w:p>
    <w:p w14:paraId="153C30C9" w14:textId="6706FF59" w:rsidR="00DF1A41" w:rsidRPr="002F00DD" w:rsidRDefault="00DF1A41" w:rsidP="00FF3BB2">
      <w:pPr>
        <w:spacing w:line="240" w:lineRule="auto"/>
        <w:rPr>
          <w:b/>
          <w:i/>
          <w:color w:val="7F7F7F" w:themeColor="text1" w:themeTint="80"/>
        </w:rPr>
      </w:pPr>
      <w:r w:rsidRPr="002F00DD">
        <w:rPr>
          <w:b/>
          <w:i/>
          <w:color w:val="7F7F7F" w:themeColor="text1" w:themeTint="80"/>
        </w:rPr>
        <w:t>[</w:t>
      </w:r>
      <w:r w:rsidR="004F2110" w:rsidRPr="002F00DD">
        <w:rPr>
          <w:b/>
          <w:i/>
          <w:color w:val="7F7F7F" w:themeColor="text1" w:themeTint="80"/>
        </w:rPr>
        <w:t>Add additional information that is pertinent to your patient</w:t>
      </w:r>
      <w:r w:rsidRPr="002F00DD">
        <w:rPr>
          <w:b/>
          <w:i/>
          <w:color w:val="7F7F7F" w:themeColor="text1" w:themeTint="80"/>
        </w:rPr>
        <w:t>]</w:t>
      </w:r>
    </w:p>
    <w:p w14:paraId="41284F02" w14:textId="76C97517" w:rsidR="00DE6279" w:rsidRPr="002F00DD" w:rsidRDefault="00DF1A41" w:rsidP="00FF3BB2">
      <w:pPr>
        <w:spacing w:line="240" w:lineRule="auto"/>
      </w:pPr>
      <w:r w:rsidRPr="002F00DD">
        <w:t xml:space="preserve">Based on </w:t>
      </w:r>
      <w:r w:rsidR="00C91AD9">
        <w:t>the</w:t>
      </w:r>
      <w:r w:rsidR="00C91AD9" w:rsidRPr="002F00DD">
        <w:t xml:space="preserve"> </w:t>
      </w:r>
      <w:r w:rsidRPr="002F00DD">
        <w:t>clinical safety and efficacy data</w:t>
      </w:r>
      <w:r w:rsidR="00C91AD9">
        <w:t xml:space="preserve"> of </w:t>
      </w:r>
      <w:r w:rsidR="00440A82">
        <w:t>ONPATTRO</w:t>
      </w:r>
      <w:r w:rsidRPr="002F00DD">
        <w:t xml:space="preserve">, it is my medical opinion that initiating </w:t>
      </w:r>
      <w:r w:rsidR="00C91AD9">
        <w:t xml:space="preserve">treatment with </w:t>
      </w:r>
      <w:r w:rsidR="0009459E">
        <w:t>ONPATTRO</w:t>
      </w:r>
      <w:r w:rsidR="0009459E" w:rsidRPr="002F00DD">
        <w:t xml:space="preserve"> </w:t>
      </w:r>
      <w:r w:rsidRPr="002F00DD">
        <w:t xml:space="preserve">for </w:t>
      </w:r>
      <w:r w:rsidRPr="002F00DD">
        <w:rPr>
          <w:color w:val="7F7F7F" w:themeColor="text1" w:themeTint="80"/>
        </w:rPr>
        <w:t xml:space="preserve">[patient’s name] </w:t>
      </w:r>
      <w:r w:rsidRPr="002F00DD">
        <w:t xml:space="preserve">is appropriate and medically necessary at this time. </w:t>
      </w:r>
      <w:r w:rsidR="00C91AD9">
        <w:t xml:space="preserve">The costs of </w:t>
      </w:r>
      <w:r w:rsidR="0009459E">
        <w:t>ONPATTRO</w:t>
      </w:r>
      <w:r w:rsidR="0009459E" w:rsidRPr="002F00DD">
        <w:t xml:space="preserve"> </w:t>
      </w:r>
      <w:r w:rsidRPr="002F00DD">
        <w:t>therapy, including all administration services (described in further detail below), should be reimbursed. The remainder of th</w:t>
      </w:r>
      <w:r w:rsidR="00C91AD9">
        <w:t>is</w:t>
      </w:r>
      <w:r w:rsidRPr="002F00DD">
        <w:t xml:space="preserve"> letter describes the patient’s medical history, prognosis, and rationale for treatment with </w:t>
      </w:r>
      <w:r w:rsidR="00316F1D">
        <w:t>ONPATTRO</w:t>
      </w:r>
      <w:r w:rsidRPr="002F00DD">
        <w:t xml:space="preserve">. </w:t>
      </w:r>
    </w:p>
    <w:p w14:paraId="21DFF796" w14:textId="77777777" w:rsidR="007A22A1" w:rsidRPr="002F00DD" w:rsidRDefault="007A22A1" w:rsidP="007A22A1">
      <w:pPr>
        <w:rPr>
          <w:i/>
        </w:rPr>
      </w:pPr>
      <w:r w:rsidRPr="002F00DD">
        <w:rPr>
          <w:b/>
          <w:i/>
        </w:rPr>
        <w:t>Summary of Patient’s Medical History</w:t>
      </w:r>
      <w:r w:rsidRPr="002F00DD">
        <w:rPr>
          <w:i/>
        </w:rPr>
        <w:t xml:space="preserve"> </w:t>
      </w:r>
    </w:p>
    <w:p w14:paraId="282A0C09" w14:textId="77777777" w:rsidR="007A22A1" w:rsidRPr="002F00DD" w:rsidRDefault="007A22A1" w:rsidP="007A22A1">
      <w:pPr>
        <w:rPr>
          <w:b/>
          <w:i/>
          <w:color w:val="7F7F7F" w:themeColor="text1" w:themeTint="80"/>
        </w:rPr>
      </w:pPr>
      <w:r w:rsidRPr="002F00DD">
        <w:rPr>
          <w:b/>
          <w:i/>
          <w:color w:val="7F7F7F" w:themeColor="text1" w:themeTint="80"/>
        </w:rPr>
        <w:t>[Please complete based on your patient’s medical history; delete any categories that are not pertinent to your patient]</w:t>
      </w:r>
    </w:p>
    <w:p w14:paraId="701C873D" w14:textId="77777777" w:rsidR="007A22A1" w:rsidRPr="002F00DD" w:rsidRDefault="007A22A1" w:rsidP="007A22A1">
      <w:pPr>
        <w:rPr>
          <w:i/>
          <w:color w:val="7F7F7F" w:themeColor="text1" w:themeTint="80"/>
        </w:rPr>
      </w:pPr>
      <w:r w:rsidRPr="002F00DD">
        <w:t xml:space="preserve">□ Date of hATTR amyloidosis diagnosis: </w:t>
      </w:r>
      <w:r w:rsidRPr="002F00DD">
        <w:rPr>
          <w:color w:val="7F7F7F" w:themeColor="text1" w:themeTint="80"/>
        </w:rPr>
        <w:t>[complete]</w:t>
      </w:r>
      <w:r w:rsidRPr="002F00DD">
        <w:rPr>
          <w:i/>
          <w:color w:val="7F7F7F" w:themeColor="text1" w:themeTint="80"/>
        </w:rPr>
        <w:t xml:space="preserve"> </w:t>
      </w:r>
    </w:p>
    <w:p w14:paraId="117D246D" w14:textId="77777777" w:rsidR="007A22A1" w:rsidRPr="002F00DD" w:rsidRDefault="007A22A1" w:rsidP="007A22A1">
      <w:pPr>
        <w:pStyle w:val="ListParagraph"/>
        <w:numPr>
          <w:ilvl w:val="0"/>
          <w:numId w:val="9"/>
        </w:numPr>
      </w:pPr>
      <w:r w:rsidRPr="002F00DD">
        <w:t xml:space="preserve">Diagnostic genetic testing: </w:t>
      </w:r>
      <w:r w:rsidRPr="002F00DD">
        <w:rPr>
          <w:color w:val="7F7F7F" w:themeColor="text1" w:themeTint="80"/>
        </w:rPr>
        <w:t xml:space="preserve">[If applicable, provide results of your patient’s genetic testing including their genotype] </w:t>
      </w:r>
    </w:p>
    <w:p w14:paraId="08EB276B" w14:textId="77777777" w:rsidR="007A22A1" w:rsidRDefault="007A22A1" w:rsidP="007A22A1">
      <w:pPr>
        <w:pStyle w:val="ListParagraph"/>
        <w:numPr>
          <w:ilvl w:val="0"/>
          <w:numId w:val="9"/>
        </w:numPr>
        <w:rPr>
          <w:color w:val="7F7F7F" w:themeColor="text1" w:themeTint="80"/>
        </w:rPr>
      </w:pPr>
      <w:r w:rsidRPr="002F00DD">
        <w:t xml:space="preserve">Other diagnostic evaluations: </w:t>
      </w:r>
      <w:r w:rsidRPr="002F00DD">
        <w:rPr>
          <w:color w:val="7F7F7F" w:themeColor="text1" w:themeTint="80"/>
        </w:rPr>
        <w:t xml:space="preserve">[e.g., </w:t>
      </w:r>
      <w:r>
        <w:rPr>
          <w:color w:val="7F7F7F" w:themeColor="text1" w:themeTint="80"/>
        </w:rPr>
        <w:t>b</w:t>
      </w:r>
      <w:r w:rsidRPr="00440548">
        <w:rPr>
          <w:color w:val="7F7F7F" w:themeColor="text1" w:themeTint="80"/>
        </w:rPr>
        <w:t>one scintigraphy scans</w:t>
      </w:r>
      <w:r>
        <w:rPr>
          <w:color w:val="7F7F7F" w:themeColor="text1" w:themeTint="80"/>
        </w:rPr>
        <w:t>, b</w:t>
      </w:r>
      <w:r w:rsidRPr="00A40C80">
        <w:rPr>
          <w:color w:val="7F7F7F" w:themeColor="text1" w:themeTint="80"/>
        </w:rPr>
        <w:t xml:space="preserve">iopsy, </w:t>
      </w:r>
      <w:r w:rsidRPr="00440548">
        <w:rPr>
          <w:color w:val="7F7F7F" w:themeColor="text1" w:themeTint="80"/>
        </w:rPr>
        <w:t>abnormal test findings</w:t>
      </w:r>
      <w:r>
        <w:rPr>
          <w:color w:val="7F7F7F" w:themeColor="text1" w:themeTint="80"/>
        </w:rPr>
        <w:t xml:space="preserve">; </w:t>
      </w:r>
      <w:r w:rsidRPr="00A40C80">
        <w:rPr>
          <w:color w:val="7F7F7F" w:themeColor="text1" w:themeTint="80"/>
        </w:rPr>
        <w:t>please describe]</w:t>
      </w:r>
    </w:p>
    <w:p w14:paraId="4053E1BA" w14:textId="77777777" w:rsidR="007A22A1" w:rsidRPr="00A40C80" w:rsidRDefault="007A22A1" w:rsidP="007A22A1">
      <w:pPr>
        <w:pStyle w:val="ListParagraph"/>
        <w:numPr>
          <w:ilvl w:val="0"/>
          <w:numId w:val="9"/>
        </w:numPr>
        <w:rPr>
          <w:color w:val="7F7F7F" w:themeColor="text1" w:themeTint="80"/>
        </w:rPr>
      </w:pPr>
      <w:r w:rsidRPr="00B138F4">
        <w:t>Other clinical signs</w:t>
      </w:r>
      <w:r>
        <w:t>:</w:t>
      </w:r>
      <w:r w:rsidRPr="00B138F4">
        <w:t xml:space="preserve"> </w:t>
      </w:r>
      <w:r w:rsidRPr="00B138F4">
        <w:rPr>
          <w:color w:val="7F7F7F" w:themeColor="text1" w:themeTint="80"/>
        </w:rPr>
        <w:t>[If applicable, please describe]</w:t>
      </w:r>
      <w:r w:rsidRPr="002F00DD">
        <w:rPr>
          <w:color w:val="7F7F7F" w:themeColor="text1" w:themeTint="80"/>
        </w:rPr>
        <w:t xml:space="preserve"> </w:t>
      </w:r>
    </w:p>
    <w:p w14:paraId="6D077CB3" w14:textId="77777777" w:rsidR="007A22A1" w:rsidRPr="002F00DD" w:rsidRDefault="007A22A1" w:rsidP="007A22A1">
      <w:r w:rsidRPr="002F00DD">
        <w:t>□ Family history of hATTR amyloidosis:</w:t>
      </w:r>
    </w:p>
    <w:p w14:paraId="5347E0F4" w14:textId="77777777" w:rsidR="007A22A1" w:rsidRPr="002F00DD" w:rsidRDefault="007A22A1" w:rsidP="007A22A1">
      <w:pPr>
        <w:pStyle w:val="ListParagraph"/>
        <w:numPr>
          <w:ilvl w:val="0"/>
          <w:numId w:val="9"/>
        </w:numPr>
        <w:rPr>
          <w:color w:val="7F7F7F" w:themeColor="text1" w:themeTint="80"/>
        </w:rPr>
      </w:pPr>
      <w:r w:rsidRPr="002F00DD">
        <w:rPr>
          <w:color w:val="7F7F7F" w:themeColor="text1" w:themeTint="80"/>
        </w:rPr>
        <w:t xml:space="preserve">[Provide a brief description of relevant family history (e.g., </w:t>
      </w:r>
      <w:r>
        <w:rPr>
          <w:color w:val="7F7F7F" w:themeColor="text1" w:themeTint="80"/>
        </w:rPr>
        <w:t>affected</w:t>
      </w:r>
      <w:r w:rsidRPr="002F00DD">
        <w:rPr>
          <w:color w:val="7F7F7F" w:themeColor="text1" w:themeTint="80"/>
        </w:rPr>
        <w:t xml:space="preserve"> family members, known outcomes)]</w:t>
      </w:r>
    </w:p>
    <w:p w14:paraId="078DC949" w14:textId="77777777" w:rsidR="007A22A1" w:rsidRPr="002F00DD" w:rsidRDefault="007A22A1" w:rsidP="007A22A1">
      <w:pPr>
        <w:rPr>
          <w:color w:val="000000" w:themeColor="text1"/>
        </w:rPr>
      </w:pPr>
      <w:r w:rsidRPr="002F00DD">
        <w:t xml:space="preserve">□ </w:t>
      </w:r>
      <w:bookmarkStart w:id="1" w:name="_Hlk106054409"/>
      <w:r w:rsidRPr="002F00DD">
        <w:rPr>
          <w:color w:val="000000" w:themeColor="text1"/>
        </w:rPr>
        <w:t>Current</w:t>
      </w:r>
      <w:bookmarkEnd w:id="1"/>
      <w:r w:rsidRPr="002F00DD">
        <w:rPr>
          <w:color w:val="000000" w:themeColor="text1"/>
        </w:rPr>
        <w:t xml:space="preserve"> signs and/or symptoms of the polyneuropathy of hATTR amyloidosis: </w:t>
      </w:r>
    </w:p>
    <w:p w14:paraId="656FA46C" w14:textId="77777777" w:rsidR="007A22A1" w:rsidRPr="002F00DD" w:rsidRDefault="007A22A1" w:rsidP="007A22A1">
      <w:pPr>
        <w:pStyle w:val="ListParagraph"/>
        <w:numPr>
          <w:ilvl w:val="0"/>
          <w:numId w:val="9"/>
        </w:numPr>
        <w:rPr>
          <w:color w:val="7F7F7F" w:themeColor="text1" w:themeTint="80"/>
        </w:rPr>
      </w:pPr>
      <w:r w:rsidRPr="002F00DD">
        <w:rPr>
          <w:color w:val="000000" w:themeColor="text1"/>
        </w:rPr>
        <w:t xml:space="preserve">Peripheral </w:t>
      </w:r>
      <w:r w:rsidRPr="002F00DD">
        <w:t xml:space="preserve">sensorimotor polyneuropathy symptoms: </w:t>
      </w:r>
      <w:r w:rsidRPr="002F00DD">
        <w:rPr>
          <w:color w:val="7F7F7F" w:themeColor="text1" w:themeTint="80"/>
        </w:rPr>
        <w:t xml:space="preserve">[please describe] </w:t>
      </w:r>
    </w:p>
    <w:p w14:paraId="0703B834" w14:textId="77777777" w:rsidR="007A22A1" w:rsidRPr="005C4018" w:rsidRDefault="007A22A1" w:rsidP="007A22A1">
      <w:pPr>
        <w:pStyle w:val="ListParagraph"/>
        <w:numPr>
          <w:ilvl w:val="0"/>
          <w:numId w:val="9"/>
        </w:numPr>
      </w:pPr>
      <w:r w:rsidRPr="002F00DD">
        <w:t xml:space="preserve">Autonomic neuropathy symptoms: </w:t>
      </w:r>
      <w:r w:rsidRPr="002F00DD">
        <w:rPr>
          <w:color w:val="7F7F7F" w:themeColor="text1" w:themeTint="80"/>
        </w:rPr>
        <w:t xml:space="preserve">[e.g., </w:t>
      </w:r>
      <w:r w:rsidRPr="00F100D6">
        <w:rPr>
          <w:color w:val="7F7F7F" w:themeColor="text1" w:themeTint="80"/>
        </w:rPr>
        <w:t>orthostatic intolerance</w:t>
      </w:r>
      <w:r w:rsidRPr="002F00DD">
        <w:rPr>
          <w:color w:val="7F7F7F" w:themeColor="text1" w:themeTint="80"/>
        </w:rPr>
        <w:t>, gastrointestinal symptoms</w:t>
      </w:r>
      <w:r>
        <w:rPr>
          <w:color w:val="7F7F7F" w:themeColor="text1" w:themeTint="80"/>
        </w:rPr>
        <w:t>;</w:t>
      </w:r>
      <w:r w:rsidRPr="002F00DD">
        <w:rPr>
          <w:color w:val="7F7F7F" w:themeColor="text1" w:themeTint="80"/>
        </w:rPr>
        <w:t xml:space="preserve"> please describe]</w:t>
      </w:r>
    </w:p>
    <w:p w14:paraId="34BE44C2" w14:textId="77777777" w:rsidR="007A22A1" w:rsidRDefault="007A22A1" w:rsidP="007A22A1">
      <w:pPr>
        <w:pStyle w:val="ListParagraph"/>
        <w:numPr>
          <w:ilvl w:val="0"/>
          <w:numId w:val="9"/>
        </w:numPr>
      </w:pPr>
      <w:r>
        <w:t>Other clinical signs of neuropathy</w:t>
      </w:r>
      <w:r w:rsidRPr="002F00DD">
        <w:t xml:space="preserve">: </w:t>
      </w:r>
      <w:r w:rsidRPr="002F00DD">
        <w:rPr>
          <w:color w:val="7F7F7F" w:themeColor="text1" w:themeTint="80"/>
        </w:rPr>
        <w:t>[e.g.</w:t>
      </w:r>
      <w:r w:rsidRPr="00440548">
        <w:rPr>
          <w:color w:val="7F7F7F" w:themeColor="text1" w:themeTint="80"/>
        </w:rPr>
        <w:t>, sudomotor function test</w:t>
      </w:r>
      <w:r>
        <w:rPr>
          <w:color w:val="7F7F7F" w:themeColor="text1" w:themeTint="80"/>
        </w:rPr>
        <w:t xml:space="preserve">; </w:t>
      </w:r>
      <w:r w:rsidRPr="002F00DD">
        <w:rPr>
          <w:color w:val="7F7F7F" w:themeColor="text1" w:themeTint="80"/>
        </w:rPr>
        <w:t>please describe]</w:t>
      </w:r>
    </w:p>
    <w:p w14:paraId="0260A437" w14:textId="77777777" w:rsidR="007A22A1" w:rsidRPr="002F00DD" w:rsidRDefault="007A22A1" w:rsidP="007A22A1">
      <w:r w:rsidRPr="002F00DD">
        <w:lastRenderedPageBreak/>
        <w:t xml:space="preserve">□ Previous/current treatments: </w:t>
      </w:r>
    </w:p>
    <w:p w14:paraId="4E477436" w14:textId="12E99010" w:rsidR="00EA0FE7" w:rsidRPr="00BE74B9" w:rsidRDefault="007A22A1" w:rsidP="00FF3BB2">
      <w:pPr>
        <w:pStyle w:val="ListParagraph"/>
        <w:numPr>
          <w:ilvl w:val="0"/>
          <w:numId w:val="9"/>
        </w:numPr>
        <w:spacing w:line="240" w:lineRule="auto"/>
        <w:rPr>
          <w:b/>
          <w:color w:val="7F7F7F" w:themeColor="text1" w:themeTint="80"/>
        </w:rPr>
      </w:pPr>
      <w:r w:rsidRPr="004127C0">
        <w:rPr>
          <w:color w:val="7F7F7F" w:themeColor="text1" w:themeTint="80"/>
        </w:rPr>
        <w:t xml:space="preserve">[Describe previous and current treatment strategies (include treatments for polyneuropathy </w:t>
      </w:r>
      <w:r>
        <w:rPr>
          <w:color w:val="7F7F7F" w:themeColor="text1" w:themeTint="80"/>
        </w:rPr>
        <w:t>manifestations</w:t>
      </w:r>
      <w:r w:rsidR="00444303">
        <w:rPr>
          <w:color w:val="7F7F7F" w:themeColor="text1" w:themeTint="80"/>
        </w:rPr>
        <w:t xml:space="preserve"> </w:t>
      </w:r>
      <w:r w:rsidRPr="004127C0">
        <w:rPr>
          <w:color w:val="7F7F7F" w:themeColor="text1" w:themeTint="80"/>
        </w:rPr>
        <w:t>[e.g., for pain, gastrointestinal symptoms]); include the dose, start date, end date (if applicable) of each treatment, and reason for discontinuation (if applicable)]</w:t>
      </w:r>
    </w:p>
    <w:p w14:paraId="27C07D7F" w14:textId="35D2CC71" w:rsidR="00BE74B9" w:rsidRDefault="00BE74B9" w:rsidP="00FF3BB2">
      <w:pPr>
        <w:pStyle w:val="ListParagraph"/>
        <w:spacing w:line="240" w:lineRule="auto"/>
        <w:rPr>
          <w:b/>
          <w:color w:val="7F7F7F" w:themeColor="text1" w:themeTint="80"/>
        </w:rPr>
      </w:pPr>
    </w:p>
    <w:p w14:paraId="04B55B03" w14:textId="7E16DDC9" w:rsidR="00C42280" w:rsidRPr="00DB4A1D" w:rsidRDefault="00C42280" w:rsidP="00DB4A1D">
      <w:pPr>
        <w:pStyle w:val="ListParagraph"/>
        <w:numPr>
          <w:ilvl w:val="0"/>
          <w:numId w:val="17"/>
        </w:numPr>
        <w:spacing w:line="240" w:lineRule="auto"/>
        <w:rPr>
          <w:b/>
        </w:rPr>
      </w:pPr>
      <w:r w:rsidRPr="00DB4A1D">
        <w:rPr>
          <w:b/>
        </w:rPr>
        <w:t xml:space="preserve">Dosing and Administration </w:t>
      </w:r>
    </w:p>
    <w:p w14:paraId="1793F456" w14:textId="07546669" w:rsidR="00DE6279" w:rsidRPr="00C73FF4" w:rsidRDefault="0009459E" w:rsidP="00FF3BB2">
      <w:pPr>
        <w:spacing w:line="240" w:lineRule="auto"/>
      </w:pPr>
      <w:r w:rsidRPr="0009459E">
        <w:t xml:space="preserve">Dosing and administration of </w:t>
      </w:r>
      <w:r>
        <w:t>ONPATTRO</w:t>
      </w:r>
      <w:r w:rsidR="00316F1D" w:rsidRPr="00316F1D">
        <w:t>®</w:t>
      </w:r>
      <w:r w:rsidR="00316F1D">
        <w:t xml:space="preserve"> (patisiran)</w:t>
      </w:r>
      <w:r w:rsidRPr="0009459E">
        <w:t xml:space="preserve"> should be in accordance with U.S. Prescribing Information.</w:t>
      </w:r>
      <w:r w:rsidRPr="0009459E">
        <w:rPr>
          <w:rFonts w:ascii="Calibri" w:hAnsi="Calibri" w:cs="Calibri"/>
          <w:szCs w:val="24"/>
          <w:vertAlign w:val="superscript"/>
        </w:rPr>
        <w:t>1</w:t>
      </w:r>
      <w:r>
        <w:t xml:space="preserve"> ONPATTRO should be administered by a healthcare professional. </w:t>
      </w:r>
      <w:r w:rsidRPr="0009459E">
        <w:t xml:space="preserve"> </w:t>
      </w:r>
      <w:r w:rsidR="00444303" w:rsidRPr="00444303">
        <w:t>ONPATTRO is administered via intravenous (IV) infusion. Dosing is based on actual body weight</w:t>
      </w:r>
      <w:r w:rsidR="00EF2EA2" w:rsidRPr="002F00DD">
        <w:t>.</w:t>
      </w:r>
      <w:r w:rsidR="00444303">
        <w:rPr>
          <w:vertAlign w:val="superscript"/>
        </w:rPr>
        <w:t>1</w:t>
      </w:r>
      <w:r w:rsidR="00EF2EA2" w:rsidRPr="002F00DD">
        <w:t xml:space="preserve"> My patient weighs </w:t>
      </w:r>
      <w:r w:rsidR="00EF2EA2" w:rsidRPr="002F00DD">
        <w:rPr>
          <w:color w:val="7F7F7F" w:themeColor="text1" w:themeTint="80"/>
        </w:rPr>
        <w:t>[insert weight in kilograms]</w:t>
      </w:r>
      <w:r w:rsidR="00EF2EA2" w:rsidRPr="002F00DD">
        <w:t xml:space="preserve">, therefore, </w:t>
      </w:r>
      <w:r w:rsidR="006269B8" w:rsidRPr="002F00DD">
        <w:rPr>
          <w:color w:val="7F7F7F" w:themeColor="text1" w:themeTint="80"/>
        </w:rPr>
        <w:t>[</w:t>
      </w:r>
      <w:r w:rsidR="00EF2EA2" w:rsidRPr="002F00DD">
        <w:rPr>
          <w:color w:val="7F7F7F" w:themeColor="text1" w:themeTint="80"/>
        </w:rPr>
        <w:t>he/she</w:t>
      </w:r>
      <w:r w:rsidR="006269B8" w:rsidRPr="002F00DD">
        <w:rPr>
          <w:color w:val="7F7F7F" w:themeColor="text1" w:themeTint="80"/>
        </w:rPr>
        <w:t>]</w:t>
      </w:r>
      <w:r w:rsidR="00EF2EA2" w:rsidRPr="002F00DD">
        <w:rPr>
          <w:color w:val="7F7F7F" w:themeColor="text1" w:themeTint="80"/>
        </w:rPr>
        <w:t xml:space="preserve"> </w:t>
      </w:r>
      <w:r w:rsidR="00EF2EA2" w:rsidRPr="002F00DD">
        <w:t xml:space="preserve">should receive a dose of </w:t>
      </w:r>
      <w:r w:rsidR="00EF2EA2" w:rsidRPr="002F00DD">
        <w:rPr>
          <w:color w:val="7F7F7F" w:themeColor="text1" w:themeTint="80"/>
        </w:rPr>
        <w:t>[insert dose]</w:t>
      </w:r>
      <w:r w:rsidR="00DE1272" w:rsidRPr="002F00DD">
        <w:rPr>
          <w:color w:val="7F7F7F" w:themeColor="text1" w:themeTint="80"/>
        </w:rPr>
        <w:t xml:space="preserve"> </w:t>
      </w:r>
      <w:r w:rsidR="006269B8" w:rsidRPr="002F00DD">
        <w:t>mg</w:t>
      </w:r>
      <w:r w:rsidR="00EF2EA2" w:rsidRPr="002F00DD">
        <w:t xml:space="preserve"> every three weeks.</w:t>
      </w:r>
      <w:r w:rsidR="0011086C" w:rsidRPr="002F00DD">
        <w:t xml:space="preserve"> </w:t>
      </w:r>
      <w:r w:rsidR="0011086C" w:rsidRPr="002F00DD">
        <w:rPr>
          <w:i/>
          <w:color w:val="7F7F7F" w:themeColor="text1" w:themeTint="80"/>
        </w:rPr>
        <w:t xml:space="preserve">[Please note, patients weighing ≥100 kg are recommended to receive a 30 mg dose per </w:t>
      </w:r>
      <w:r w:rsidR="00347979">
        <w:rPr>
          <w:i/>
          <w:color w:val="7F7F7F" w:themeColor="text1" w:themeTint="80"/>
        </w:rPr>
        <w:t>the U.S.</w:t>
      </w:r>
      <w:r w:rsidR="006E1C3D">
        <w:rPr>
          <w:i/>
          <w:color w:val="7F7F7F" w:themeColor="text1" w:themeTint="80"/>
        </w:rPr>
        <w:t xml:space="preserve"> Prescribing Information</w:t>
      </w:r>
      <w:r w:rsidR="0011086C" w:rsidRPr="002F00DD">
        <w:rPr>
          <w:i/>
          <w:color w:val="7F7F7F" w:themeColor="text1" w:themeTint="80"/>
        </w:rPr>
        <w:t>]</w:t>
      </w:r>
      <w:r w:rsidR="0011086C" w:rsidRPr="002F00DD">
        <w:t>.</w:t>
      </w:r>
      <w:r w:rsidR="00EF2EA2" w:rsidRPr="002F00DD">
        <w:t xml:space="preserve"> </w:t>
      </w:r>
      <w:r w:rsidR="00DF1A41" w:rsidRPr="002F00DD">
        <w:t>T</w:t>
      </w:r>
      <w:r w:rsidR="00C42280" w:rsidRPr="002F00DD">
        <w:t xml:space="preserve">o reduce the risk of </w:t>
      </w:r>
      <w:r w:rsidR="00DF1A41" w:rsidRPr="002F00DD">
        <w:t>an infusion-related reaction</w:t>
      </w:r>
      <w:r w:rsidR="00466E8A" w:rsidRPr="002F00DD">
        <w:t xml:space="preserve"> (IRR)</w:t>
      </w:r>
      <w:r w:rsidR="00C42280" w:rsidRPr="002F00DD">
        <w:t xml:space="preserve">, </w:t>
      </w:r>
      <w:r w:rsidR="00EF2EA2" w:rsidRPr="002F00DD">
        <w:t>the patient</w:t>
      </w:r>
      <w:r w:rsidR="00C42280" w:rsidRPr="002F00DD">
        <w:t xml:space="preserve"> should receive premedication</w:t>
      </w:r>
      <w:r w:rsidR="006A590A">
        <w:t xml:space="preserve"> </w:t>
      </w:r>
      <w:r w:rsidR="009A484C">
        <w:t xml:space="preserve">with a </w:t>
      </w:r>
      <w:r w:rsidR="006A590A">
        <w:t>corticosteroid</w:t>
      </w:r>
      <w:r w:rsidR="009A484C">
        <w:t>, acetaminophen,</w:t>
      </w:r>
      <w:r w:rsidR="00347979">
        <w:t xml:space="preserve"> and antihistamines</w:t>
      </w:r>
      <w:r w:rsidR="009A484C">
        <w:t xml:space="preserve"> </w:t>
      </w:r>
      <w:r w:rsidR="00347979">
        <w:t>(</w:t>
      </w:r>
      <w:r w:rsidR="009A484C">
        <w:t>H1 and H2 blockers</w:t>
      </w:r>
      <w:r w:rsidR="00347979">
        <w:t>)</w:t>
      </w:r>
      <w:r w:rsidR="006A590A">
        <w:t xml:space="preserve"> </w:t>
      </w:r>
      <w:r w:rsidR="00C42280" w:rsidRPr="002F00DD">
        <w:t xml:space="preserve">on the day of </w:t>
      </w:r>
      <w:r w:rsidR="00316F1D">
        <w:t>ONPATTRO</w:t>
      </w:r>
      <w:r w:rsidR="00EC4ED0" w:rsidRPr="002F00DD">
        <w:t xml:space="preserve"> </w:t>
      </w:r>
      <w:r w:rsidR="00C42280" w:rsidRPr="002F00DD">
        <w:t>infusion</w:t>
      </w:r>
      <w:r w:rsidR="00814BA1" w:rsidRPr="002F00DD">
        <w:rPr>
          <w:rFonts w:cs="Arial"/>
        </w:rPr>
        <w:t xml:space="preserve"> at least </w:t>
      </w:r>
      <w:r w:rsidR="00C42280" w:rsidRPr="002F00DD">
        <w:t>60 minutes prior</w:t>
      </w:r>
      <w:r w:rsidR="00814BA1" w:rsidRPr="002F00DD">
        <w:t xml:space="preserve"> to the start of infusion</w:t>
      </w:r>
      <w:r w:rsidR="001935C9" w:rsidRPr="002F00DD">
        <w:t>.</w:t>
      </w:r>
      <w:r w:rsidR="00A81B6D" w:rsidRPr="002F00DD">
        <w:t xml:space="preserve"> </w:t>
      </w:r>
    </w:p>
    <w:p w14:paraId="0EBFADCF" w14:textId="77777777" w:rsidR="002C31F0" w:rsidRDefault="002C31F0" w:rsidP="00FF3BB2">
      <w:pPr>
        <w:spacing w:line="240" w:lineRule="auto"/>
        <w:rPr>
          <w:b/>
        </w:rPr>
      </w:pPr>
    </w:p>
    <w:p w14:paraId="221152B2" w14:textId="30497FFC" w:rsidR="005A4586" w:rsidRPr="00DB4A1D" w:rsidRDefault="00C91AD9" w:rsidP="00DB4A1D">
      <w:pPr>
        <w:pStyle w:val="ListParagraph"/>
        <w:numPr>
          <w:ilvl w:val="0"/>
          <w:numId w:val="17"/>
        </w:numPr>
        <w:spacing w:line="240" w:lineRule="auto"/>
        <w:rPr>
          <w:b/>
        </w:rPr>
      </w:pPr>
      <w:r w:rsidRPr="00DB4A1D">
        <w:rPr>
          <w:b/>
        </w:rPr>
        <w:t>ONPATTRO</w:t>
      </w:r>
      <w:r w:rsidR="00FF3BB2" w:rsidRPr="00DB4A1D">
        <w:rPr>
          <w:b/>
        </w:rPr>
        <w:t xml:space="preserve"> </w:t>
      </w:r>
      <w:r w:rsidR="00FA0626" w:rsidRPr="00DB4A1D">
        <w:rPr>
          <w:b/>
        </w:rPr>
        <w:t xml:space="preserve">Efficacy </w:t>
      </w:r>
      <w:r w:rsidR="009E1DC9" w:rsidRPr="00DB4A1D">
        <w:rPr>
          <w:b/>
        </w:rPr>
        <w:t xml:space="preserve">and Safety </w:t>
      </w:r>
      <w:r w:rsidR="00FA0626" w:rsidRPr="00DB4A1D">
        <w:rPr>
          <w:b/>
        </w:rPr>
        <w:t>Summary</w:t>
      </w:r>
    </w:p>
    <w:p w14:paraId="0D9E4D22" w14:textId="5218667B" w:rsidR="00D440B7" w:rsidRPr="002F00DD" w:rsidRDefault="00717243" w:rsidP="00FF3BB2">
      <w:pPr>
        <w:spacing w:line="240" w:lineRule="auto"/>
      </w:pPr>
      <w:r w:rsidRPr="002F00DD">
        <w:t xml:space="preserve">The efficacy and safety of </w:t>
      </w:r>
      <w:r w:rsidR="00440A82">
        <w:t>ONPATTRO</w:t>
      </w:r>
      <w:r w:rsidR="00FF3BB2">
        <w:t xml:space="preserve"> </w:t>
      </w:r>
      <w:r w:rsidRPr="002F00DD">
        <w:t>w</w:t>
      </w:r>
      <w:r w:rsidR="007D3DCA">
        <w:t>ere</w:t>
      </w:r>
      <w:r w:rsidRPr="002F00DD">
        <w:t xml:space="preserve"> studied in the </w:t>
      </w:r>
      <w:r w:rsidR="0011086C" w:rsidRPr="002F00DD">
        <w:t>pivotal</w:t>
      </w:r>
      <w:r w:rsidR="00E2048F" w:rsidRPr="002F00DD">
        <w:t xml:space="preserve"> Phase 3</w:t>
      </w:r>
      <w:r w:rsidR="0049487C" w:rsidRPr="002F00DD">
        <w:t xml:space="preserve">, randomized, double-blind, </w:t>
      </w:r>
      <w:r w:rsidR="00E50FC4" w:rsidRPr="002F00DD">
        <w:t>placebo-controlled</w:t>
      </w:r>
      <w:r w:rsidR="0049487C" w:rsidRPr="002F00DD">
        <w:t xml:space="preserve"> </w:t>
      </w:r>
      <w:r w:rsidR="00E2048F" w:rsidRPr="002F00DD">
        <w:t xml:space="preserve">study, APOLLO, </w:t>
      </w:r>
      <w:r w:rsidRPr="002F00DD">
        <w:t>in patients with</w:t>
      </w:r>
      <w:r w:rsidR="00924FDA" w:rsidRPr="002F00DD">
        <w:t xml:space="preserve"> </w:t>
      </w:r>
      <w:r w:rsidR="00FE7D62" w:rsidRPr="002F00DD">
        <w:t>hATTR</w:t>
      </w:r>
      <w:r w:rsidR="00924FDA" w:rsidRPr="002F00DD">
        <w:t xml:space="preserve"> amyloidosis</w:t>
      </w:r>
      <w:r w:rsidR="00DA48FA">
        <w:t xml:space="preserve"> with polyneur</w:t>
      </w:r>
      <w:r w:rsidR="00CF39F4">
        <w:t>o</w:t>
      </w:r>
      <w:r w:rsidR="00DA48FA">
        <w:t>pathy</w:t>
      </w:r>
      <w:r w:rsidRPr="002F00DD">
        <w:t>.</w:t>
      </w:r>
      <w:r w:rsidR="00006888">
        <w:t xml:space="preserve"> </w:t>
      </w:r>
      <w:r w:rsidRPr="002F00DD">
        <w:t xml:space="preserve">Efficacy measures </w:t>
      </w:r>
      <w:r w:rsidR="00D440B7" w:rsidRPr="002F00DD">
        <w:t>included a comprehensive set of</w:t>
      </w:r>
      <w:r w:rsidRPr="002F00DD">
        <w:t xml:space="preserve"> </w:t>
      </w:r>
      <w:r w:rsidR="00D440B7" w:rsidRPr="002F00DD">
        <w:t xml:space="preserve">endpoints assessing the impact of </w:t>
      </w:r>
      <w:r w:rsidR="00316F1D">
        <w:t>ONPATTRO</w:t>
      </w:r>
      <w:r w:rsidR="00ED6FDE" w:rsidRPr="002F00DD">
        <w:t xml:space="preserve"> </w:t>
      </w:r>
      <w:r w:rsidR="00D440B7" w:rsidRPr="002F00DD">
        <w:t xml:space="preserve">on </w:t>
      </w:r>
      <w:r w:rsidR="00DE6279" w:rsidRPr="002F00DD">
        <w:t>a</w:t>
      </w:r>
      <w:r w:rsidR="00E50FC4" w:rsidRPr="002F00DD">
        <w:t xml:space="preserve"> broad range of</w:t>
      </w:r>
      <w:r w:rsidR="0074252E" w:rsidRPr="002F00DD">
        <w:t xml:space="preserve"> polyneuropathy</w:t>
      </w:r>
      <w:r w:rsidR="00D440B7" w:rsidRPr="002F00DD">
        <w:t xml:space="preserve"> manifestations of hATTR amyloidosis.</w:t>
      </w:r>
      <w:r w:rsidR="00B72C6D" w:rsidRPr="00B72C6D">
        <w:rPr>
          <w:rFonts w:ascii="Calibri" w:hAnsi="Calibri" w:cs="Calibri"/>
          <w:szCs w:val="24"/>
          <w:vertAlign w:val="superscript"/>
        </w:rPr>
        <w:t>1,</w:t>
      </w:r>
      <w:r w:rsidR="00444303">
        <w:rPr>
          <w:rFonts w:ascii="Calibri" w:hAnsi="Calibri" w:cs="Calibri"/>
          <w:szCs w:val="24"/>
          <w:vertAlign w:val="superscript"/>
        </w:rPr>
        <w:t>7</w:t>
      </w:r>
      <w:r w:rsidR="00D440B7" w:rsidRPr="002F00DD">
        <w:t xml:space="preserve"> </w:t>
      </w:r>
      <w:r w:rsidR="000D5201" w:rsidRPr="002F00DD">
        <w:t xml:space="preserve">Results from </w:t>
      </w:r>
      <w:r w:rsidR="0074252E" w:rsidRPr="002F00DD">
        <w:t xml:space="preserve">the primary and secondary </w:t>
      </w:r>
      <w:r w:rsidR="000D5201" w:rsidRPr="002F00DD">
        <w:t>endpoint</w:t>
      </w:r>
      <w:r w:rsidR="0074252E" w:rsidRPr="002F00DD">
        <w:t>s of the APOLLO study</w:t>
      </w:r>
      <w:r w:rsidR="000D5201" w:rsidRPr="002F00DD">
        <w:t xml:space="preserve"> and the corresponding system</w:t>
      </w:r>
      <w:r w:rsidR="0074252E" w:rsidRPr="002F00DD">
        <w:t>s</w:t>
      </w:r>
      <w:r w:rsidR="000D5201" w:rsidRPr="002F00DD">
        <w:t xml:space="preserve"> assesse</w:t>
      </w:r>
      <w:r w:rsidR="009A484C">
        <w:t>d</w:t>
      </w:r>
      <w:r w:rsidR="00E05A1B" w:rsidRPr="002F00DD">
        <w:t xml:space="preserve"> by each endpoint</w:t>
      </w:r>
      <w:r w:rsidR="000D5201" w:rsidRPr="002F00DD">
        <w:t xml:space="preserve"> </w:t>
      </w:r>
      <w:r w:rsidR="00E50FC4" w:rsidRPr="002F00DD">
        <w:t>are</w:t>
      </w:r>
      <w:r w:rsidR="000D5201" w:rsidRPr="002F00DD">
        <w:t xml:space="preserve"> described below. </w:t>
      </w:r>
      <w:r w:rsidR="00EC4ED0" w:rsidRPr="004B6BB0">
        <w:t>All patients who completed APOLLO were eligible to be screened for enrollment into the</w:t>
      </w:r>
      <w:r w:rsidR="00ED0075" w:rsidRPr="004B6BB0">
        <w:t xml:space="preserve"> 5-year</w:t>
      </w:r>
      <w:r w:rsidR="00EC4ED0" w:rsidRPr="004B6BB0">
        <w:t xml:space="preserve"> Global OLE study.</w:t>
      </w:r>
    </w:p>
    <w:p w14:paraId="0D01DC5C" w14:textId="33EC405E" w:rsidR="00E2048F" w:rsidRPr="002F00DD" w:rsidRDefault="00222FFA" w:rsidP="00FF3BB2">
      <w:pPr>
        <w:spacing w:line="240" w:lineRule="auto"/>
        <w:rPr>
          <w:b/>
          <w:i/>
        </w:rPr>
      </w:pPr>
      <w:r w:rsidRPr="002F00DD">
        <w:rPr>
          <w:b/>
          <w:i/>
        </w:rPr>
        <w:t>Polyneuropathy</w:t>
      </w:r>
    </w:p>
    <w:p w14:paraId="75AA3AD6" w14:textId="2591F5AB" w:rsidR="008764DB" w:rsidRPr="004B6BB0" w:rsidRDefault="00E2048F" w:rsidP="00FF3BB2">
      <w:pPr>
        <w:spacing w:line="240" w:lineRule="auto"/>
      </w:pPr>
      <w:r w:rsidRPr="002F00DD">
        <w:t>At 18 months</w:t>
      </w:r>
      <w:r w:rsidR="004F759C">
        <w:t xml:space="preserve"> in APOLLO</w:t>
      </w:r>
      <w:r w:rsidRPr="002F00DD">
        <w:t xml:space="preserve">, </w:t>
      </w:r>
      <w:r w:rsidR="004930EF" w:rsidRPr="002F00DD">
        <w:t>comparisons of the</w:t>
      </w:r>
      <w:r w:rsidRPr="002F00DD">
        <w:t xml:space="preserve"> least squares (LS) mean change from baseline </w:t>
      </w:r>
      <w:r w:rsidR="004930EF" w:rsidRPr="002F00DD">
        <w:t>of the</w:t>
      </w:r>
      <w:r w:rsidR="00DE6279" w:rsidRPr="002F00DD">
        <w:t xml:space="preserve"> primary endpoint,</w:t>
      </w:r>
      <w:r w:rsidR="004930EF" w:rsidRPr="002F00DD">
        <w:t xml:space="preserve"> </w:t>
      </w:r>
      <w:r w:rsidRPr="002F00DD">
        <w:t>modified Neuro</w:t>
      </w:r>
      <w:r w:rsidR="009A484C">
        <w:t>pathy</w:t>
      </w:r>
      <w:r w:rsidRPr="002F00DD">
        <w:t xml:space="preserve"> Impairment Score plus 7 (mNIS+7)</w:t>
      </w:r>
      <w:r w:rsidR="00DE6279" w:rsidRPr="002F00DD">
        <w:t>,</w:t>
      </w:r>
      <w:r w:rsidRPr="002F00DD">
        <w:t xml:space="preserve"> </w:t>
      </w:r>
      <w:r w:rsidR="004930EF" w:rsidRPr="002F00DD">
        <w:t>showed a 34</w:t>
      </w:r>
      <w:r w:rsidR="00924FDA" w:rsidRPr="002F00DD">
        <w:t>.0</w:t>
      </w:r>
      <w:r w:rsidR="0043509D" w:rsidRPr="002F00DD">
        <w:t xml:space="preserve"> </w:t>
      </w:r>
      <w:r w:rsidR="004930EF" w:rsidRPr="002F00DD">
        <w:t xml:space="preserve">point improvement in patients treated with </w:t>
      </w:r>
      <w:r w:rsidR="00316F1D">
        <w:t>ONPATTRO</w:t>
      </w:r>
      <w:r w:rsidR="00ED6FDE" w:rsidRPr="002F00DD">
        <w:t xml:space="preserve"> </w:t>
      </w:r>
      <w:r w:rsidR="004930EF" w:rsidRPr="002F00DD">
        <w:t>vs placebo</w:t>
      </w:r>
      <w:r w:rsidRPr="002F00DD">
        <w:t xml:space="preserve"> (p</w:t>
      </w:r>
      <w:r w:rsidR="002612D1" w:rsidRPr="002F00DD">
        <w:t>&lt;0.001</w:t>
      </w:r>
      <w:r w:rsidR="004930EF" w:rsidRPr="002F00DD">
        <w:t>)</w:t>
      </w:r>
      <w:r w:rsidR="00224EDD" w:rsidRPr="002F00DD">
        <w:t>.</w:t>
      </w:r>
      <w:r w:rsidR="00B72C6D" w:rsidRPr="00B72C6D">
        <w:rPr>
          <w:rFonts w:ascii="Calibri" w:hAnsi="Calibri" w:cs="Calibri"/>
          <w:szCs w:val="24"/>
          <w:vertAlign w:val="superscript"/>
        </w:rPr>
        <w:t>1</w:t>
      </w:r>
      <w:r w:rsidR="004930EF" w:rsidRPr="002F00DD">
        <w:t xml:space="preserve"> </w:t>
      </w:r>
      <w:r w:rsidR="00222FFA" w:rsidRPr="002F00DD">
        <w:t>Improvement was observed across all components of mNIS+7 assessing the sensorimotor and autonomic aspects of polyneuropathy.</w:t>
      </w:r>
      <w:r w:rsidR="00444303">
        <w:rPr>
          <w:rFonts w:ascii="Calibri" w:hAnsi="Calibri" w:cs="Calibri"/>
          <w:szCs w:val="24"/>
          <w:vertAlign w:val="superscript"/>
        </w:rPr>
        <w:t>7</w:t>
      </w:r>
      <w:r w:rsidR="00222FFA" w:rsidRPr="002F00DD">
        <w:t xml:space="preserve"> </w:t>
      </w:r>
      <w:r w:rsidR="004930EF" w:rsidRPr="002F00DD">
        <w:t xml:space="preserve">Furthermore, </w:t>
      </w:r>
      <w:r w:rsidR="0080093F" w:rsidRPr="002F00DD">
        <w:t xml:space="preserve">the majority of </w:t>
      </w:r>
      <w:r w:rsidR="00FE7554" w:rsidRPr="002F00DD">
        <w:t xml:space="preserve">patients treated with </w:t>
      </w:r>
      <w:r w:rsidR="00316F1D">
        <w:t>ONPATTRO</w:t>
      </w:r>
      <w:r w:rsidR="00ED6FDE" w:rsidRPr="002F00DD">
        <w:t xml:space="preserve"> </w:t>
      </w:r>
      <w:r w:rsidR="00FE7554" w:rsidRPr="002F00DD">
        <w:t>showed an improvement in their mNIS+7 scores compared to baseline</w:t>
      </w:r>
      <w:r w:rsidR="00F670EF" w:rsidRPr="002F00DD">
        <w:t xml:space="preserve"> suggesting reversal of neuropathy</w:t>
      </w:r>
      <w:r w:rsidR="00DA48FA">
        <w:t xml:space="preserve"> impairment</w:t>
      </w:r>
      <w:r w:rsidR="00FE7554" w:rsidRPr="002F00DD">
        <w:t>.</w:t>
      </w:r>
      <w:r w:rsidR="00444303">
        <w:rPr>
          <w:rFonts w:ascii="Calibri" w:hAnsi="Calibri" w:cs="Calibri"/>
          <w:szCs w:val="24"/>
          <w:vertAlign w:val="superscript"/>
        </w:rPr>
        <w:t>7</w:t>
      </w:r>
      <w:r w:rsidR="008D464C" w:rsidRPr="002F00DD">
        <w:t xml:space="preserve"> The secondary endpoint</w:t>
      </w:r>
      <w:r w:rsidR="00444303">
        <w:t>,</w:t>
      </w:r>
      <w:r w:rsidR="008D464C" w:rsidRPr="002F00DD">
        <w:t xml:space="preserve"> Neuropathy Impairment Score</w:t>
      </w:r>
      <w:r w:rsidR="009A5232">
        <w:t>-</w:t>
      </w:r>
      <w:r w:rsidR="008D464C" w:rsidRPr="002F00DD">
        <w:t>weakness (NIS-W)</w:t>
      </w:r>
      <w:r w:rsidR="00444303">
        <w:t>,</w:t>
      </w:r>
      <w:r w:rsidR="008D464C" w:rsidRPr="002F00DD">
        <w:t xml:space="preserve"> </w:t>
      </w:r>
      <w:r w:rsidR="00E05A1B" w:rsidRPr="002F00DD">
        <w:t xml:space="preserve">demonstrated statistically </w:t>
      </w:r>
      <w:r w:rsidR="00E05A1B" w:rsidRPr="004B6BB0">
        <w:t>significant improvement</w:t>
      </w:r>
      <w:r w:rsidR="008D464C" w:rsidRPr="004B6BB0">
        <w:t xml:space="preserve"> in muscle weakness </w:t>
      </w:r>
      <w:r w:rsidR="00444303">
        <w:t>with ONPATTRO vs.</w:t>
      </w:r>
      <w:r w:rsidR="00E05A1B" w:rsidRPr="004B6BB0">
        <w:t xml:space="preserve"> placebo at 18 months</w:t>
      </w:r>
      <w:r w:rsidR="008D464C" w:rsidRPr="004B6BB0">
        <w:t xml:space="preserve"> (p&lt;0.001).</w:t>
      </w:r>
      <w:r w:rsidR="00444303">
        <w:rPr>
          <w:rFonts w:ascii="Calibri" w:hAnsi="Calibri" w:cs="Calibri"/>
          <w:szCs w:val="24"/>
          <w:vertAlign w:val="superscript"/>
        </w:rPr>
        <w:t>7</w:t>
      </w:r>
    </w:p>
    <w:p w14:paraId="2FEB5864" w14:textId="79544503" w:rsidR="00552A8B" w:rsidRDefault="006E4E44" w:rsidP="00FF3BB2">
      <w:pPr>
        <w:spacing w:line="240" w:lineRule="auto"/>
        <w:rPr>
          <w:b/>
          <w:i/>
        </w:rPr>
      </w:pPr>
      <w:r w:rsidRPr="006E4E44">
        <w:t>The Global OLE study showed</w:t>
      </w:r>
      <w:r>
        <w:t xml:space="preserve"> </w:t>
      </w:r>
      <w:r w:rsidR="00592161">
        <w:t xml:space="preserve">that </w:t>
      </w:r>
      <w:r w:rsidR="00ED6FDE" w:rsidRPr="004B6BB0">
        <w:t>patients</w:t>
      </w:r>
      <w:r w:rsidR="00551283" w:rsidRPr="004B6BB0">
        <w:t xml:space="preserve"> originally treated with </w:t>
      </w:r>
      <w:r w:rsidR="00316F1D">
        <w:t>ONPATTRO</w:t>
      </w:r>
      <w:r w:rsidR="00551283" w:rsidRPr="004B6BB0">
        <w:t xml:space="preserve"> in APOLLO</w:t>
      </w:r>
      <w:r w:rsidR="00ED6FDE" w:rsidRPr="004B6BB0">
        <w:t xml:space="preserve"> continued to demonstrate reversal of polyneuropathy</w:t>
      </w:r>
      <w:r w:rsidR="00551283" w:rsidRPr="004B6BB0">
        <w:t xml:space="preserve"> </w:t>
      </w:r>
      <w:r w:rsidR="00ED6FDE" w:rsidRPr="004B6BB0">
        <w:t xml:space="preserve">from </w:t>
      </w:r>
      <w:r w:rsidR="00551283" w:rsidRPr="004B6BB0">
        <w:t>their APOLLO</w:t>
      </w:r>
      <w:r w:rsidR="00ED6FDE" w:rsidRPr="004B6BB0">
        <w:t xml:space="preserve"> baseline</w:t>
      </w:r>
      <w:r w:rsidR="00551283" w:rsidRPr="004B6BB0">
        <w:t xml:space="preserve">, as measured by </w:t>
      </w:r>
      <w:r w:rsidR="00ED6FDE" w:rsidRPr="004B6BB0">
        <w:t>mNIS+7</w:t>
      </w:r>
      <w:r w:rsidR="00133463" w:rsidRPr="004B6BB0">
        <w:t xml:space="preserve">, through an additional </w:t>
      </w:r>
      <w:r w:rsidR="00280EF6">
        <w:t>36</w:t>
      </w:r>
      <w:r w:rsidR="00133463" w:rsidRPr="004B6BB0">
        <w:t xml:space="preserve"> months of treatment</w:t>
      </w:r>
      <w:r w:rsidR="00440A82" w:rsidRPr="009547D1">
        <w:t>.</w:t>
      </w:r>
      <w:r w:rsidR="00444303" w:rsidRPr="004B6BB0">
        <w:t xml:space="preserve"> </w:t>
      </w:r>
      <w:r w:rsidR="00551283" w:rsidRPr="004B6BB0">
        <w:t xml:space="preserve">Additionally, patients originally treated with placebo in APOLLO had a halting of further polyneuropathy progression </w:t>
      </w:r>
      <w:r w:rsidR="00572F22" w:rsidRPr="004B6BB0">
        <w:t xml:space="preserve">following </w:t>
      </w:r>
      <w:r w:rsidR="00280EF6">
        <w:t>36</w:t>
      </w:r>
      <w:r w:rsidR="00551283" w:rsidRPr="004B6BB0">
        <w:t xml:space="preserve"> months of treatment with </w:t>
      </w:r>
      <w:r w:rsidR="00316F1D">
        <w:t>ONPATTRO</w:t>
      </w:r>
      <w:r w:rsidR="00551283" w:rsidRPr="004B6BB0">
        <w:t xml:space="preserve"> in th</w:t>
      </w:r>
      <w:r w:rsidR="00EC618B" w:rsidRPr="004B6BB0">
        <w:t xml:space="preserve">e </w:t>
      </w:r>
      <w:r w:rsidR="00551283" w:rsidRPr="004B6BB0">
        <w:t>Global OLE study</w:t>
      </w:r>
      <w:r w:rsidR="004C6527" w:rsidRPr="004B6BB0">
        <w:t>.</w:t>
      </w:r>
      <w:r w:rsidR="00BD29C1" w:rsidRPr="004B6BB0">
        <w:t xml:space="preserve"> However, the 18-month treatment delay in this group resulted in accumulation of greater overall disease burden compared to patients who received </w:t>
      </w:r>
      <w:r w:rsidR="00316F1D">
        <w:t>ONPATTRO</w:t>
      </w:r>
      <w:r w:rsidR="00BD29C1" w:rsidRPr="004B6BB0">
        <w:t xml:space="preserve"> 18 months earlier in the APOLLO study.</w:t>
      </w:r>
      <w:r w:rsidR="007D7AAE">
        <w:rPr>
          <w:vertAlign w:val="superscript"/>
        </w:rPr>
        <w:t>8</w:t>
      </w:r>
      <w:r w:rsidR="00E05A1B" w:rsidRPr="002F00DD">
        <w:t xml:space="preserve">  </w:t>
      </w:r>
      <w:r w:rsidR="0074252E" w:rsidRPr="002F00DD">
        <w:t xml:space="preserve"> </w:t>
      </w:r>
    </w:p>
    <w:p w14:paraId="51FB85D2" w14:textId="77777777" w:rsidR="003D1199" w:rsidRDefault="003D1199" w:rsidP="00FF3BB2">
      <w:pPr>
        <w:spacing w:line="240" w:lineRule="auto"/>
        <w:rPr>
          <w:b/>
          <w:i/>
        </w:rPr>
      </w:pPr>
    </w:p>
    <w:p w14:paraId="5B683F1D" w14:textId="77777777" w:rsidR="003D1199" w:rsidRDefault="003D1199" w:rsidP="00FF3BB2">
      <w:pPr>
        <w:spacing w:line="240" w:lineRule="auto"/>
        <w:rPr>
          <w:b/>
          <w:i/>
        </w:rPr>
      </w:pPr>
    </w:p>
    <w:p w14:paraId="1B127CFF" w14:textId="3949B317" w:rsidR="00300D41" w:rsidRPr="002F00DD" w:rsidRDefault="00300D41" w:rsidP="00FF3BB2">
      <w:pPr>
        <w:spacing w:line="240" w:lineRule="auto"/>
        <w:rPr>
          <w:b/>
          <w:i/>
        </w:rPr>
      </w:pPr>
      <w:r w:rsidRPr="002F00DD">
        <w:rPr>
          <w:b/>
          <w:i/>
        </w:rPr>
        <w:lastRenderedPageBreak/>
        <w:t xml:space="preserve">Quality of Life </w:t>
      </w:r>
      <w:r w:rsidR="00222FFA" w:rsidRPr="002F00DD">
        <w:rPr>
          <w:b/>
          <w:i/>
        </w:rPr>
        <w:t>and Activities of Daily Living</w:t>
      </w:r>
    </w:p>
    <w:p w14:paraId="01D49DFA" w14:textId="4522F653" w:rsidR="008764DB" w:rsidRDefault="00300D41" w:rsidP="00FF3BB2">
      <w:pPr>
        <w:spacing w:line="240" w:lineRule="auto"/>
      </w:pPr>
      <w:r w:rsidRPr="002F00DD">
        <w:t xml:space="preserve">The Norfolk </w:t>
      </w:r>
      <w:r w:rsidR="000525BC" w:rsidRPr="002F00DD">
        <w:t>Quality of Life-Diabetic Neuropathy (</w:t>
      </w:r>
      <w:r w:rsidRPr="002F00DD">
        <w:t>Q</w:t>
      </w:r>
      <w:r w:rsidR="00D34449">
        <w:t>O</w:t>
      </w:r>
      <w:r w:rsidRPr="002F00DD">
        <w:t>L-DN</w:t>
      </w:r>
      <w:r w:rsidR="000525BC" w:rsidRPr="002F00DD">
        <w:t>)</w:t>
      </w:r>
      <w:r w:rsidR="00444303">
        <w:t xml:space="preserve"> questionnaire</w:t>
      </w:r>
      <w:r w:rsidRPr="002F00DD">
        <w:t xml:space="preserve">, which includes domains relating to small fiber, large fiber, and autonomic nerve function, symptoms of polyneuropathy, and activities of daily living, was found to have a statistically significant </w:t>
      </w:r>
      <w:r w:rsidR="00E50FC4" w:rsidRPr="002F00DD">
        <w:t xml:space="preserve">difference </w:t>
      </w:r>
      <w:r w:rsidR="00444303">
        <w:t>in favor of</w:t>
      </w:r>
      <w:r w:rsidR="00444303" w:rsidRPr="002F00DD">
        <w:t xml:space="preserve"> </w:t>
      </w:r>
      <w:r w:rsidR="00316F1D">
        <w:t>ONPATTRO</w:t>
      </w:r>
      <w:r w:rsidR="00A702E9">
        <w:t>® (patisiran)</w:t>
      </w:r>
      <w:r w:rsidR="00ED6FDE" w:rsidRPr="002F00DD">
        <w:t xml:space="preserve"> </w:t>
      </w:r>
      <w:r w:rsidR="00444303">
        <w:t>vs.</w:t>
      </w:r>
      <w:r w:rsidRPr="002F00DD">
        <w:t xml:space="preserve"> </w:t>
      </w:r>
      <w:r w:rsidR="00A33FD9">
        <w:t>p</w:t>
      </w:r>
      <w:r w:rsidRPr="002F00DD">
        <w:t>lacebo</w:t>
      </w:r>
      <w:r w:rsidR="000D5201" w:rsidRPr="002F00DD">
        <w:t xml:space="preserve"> at 18 months</w:t>
      </w:r>
      <w:r w:rsidR="00FE7554" w:rsidRPr="002F00DD">
        <w:t xml:space="preserve"> </w:t>
      </w:r>
      <w:r w:rsidR="004F759C">
        <w:t xml:space="preserve">in APOLLO </w:t>
      </w:r>
      <w:r w:rsidR="00FE7554" w:rsidRPr="002F00DD">
        <w:t>(p&lt;0.001)</w:t>
      </w:r>
      <w:r w:rsidRPr="002F00DD">
        <w:t>.</w:t>
      </w:r>
      <w:r w:rsidR="00B72C6D" w:rsidRPr="00B72C6D">
        <w:rPr>
          <w:rFonts w:ascii="Calibri" w:hAnsi="Calibri" w:cs="Calibri"/>
          <w:szCs w:val="24"/>
          <w:vertAlign w:val="superscript"/>
        </w:rPr>
        <w:t>1</w:t>
      </w:r>
      <w:r w:rsidRPr="002F00DD">
        <w:t xml:space="preserve"> </w:t>
      </w:r>
      <w:r w:rsidR="000525BC" w:rsidRPr="002F00DD">
        <w:t xml:space="preserve">The majority of patients treated with </w:t>
      </w:r>
      <w:r w:rsidR="00316F1D">
        <w:t>ONPATTRO</w:t>
      </w:r>
      <w:r w:rsidR="00ED6FDE" w:rsidRPr="002F00DD">
        <w:t xml:space="preserve"> </w:t>
      </w:r>
      <w:r w:rsidR="000525BC" w:rsidRPr="002F00DD">
        <w:t>showed an improvement in the Norfolk Q</w:t>
      </w:r>
      <w:r w:rsidR="00D34449">
        <w:t>O</w:t>
      </w:r>
      <w:r w:rsidR="000525BC" w:rsidRPr="002F00DD">
        <w:t>L-DN relative to baseline.</w:t>
      </w:r>
      <w:r w:rsidR="00B72C6D" w:rsidRPr="00B72C6D">
        <w:rPr>
          <w:rFonts w:ascii="Calibri" w:hAnsi="Calibri" w:cs="Calibri"/>
          <w:szCs w:val="24"/>
          <w:vertAlign w:val="superscript"/>
        </w:rPr>
        <w:t>6</w:t>
      </w:r>
      <w:r w:rsidR="000525BC" w:rsidRPr="002F00DD">
        <w:t xml:space="preserve"> </w:t>
      </w:r>
      <w:r w:rsidR="00222FFA" w:rsidRPr="002F00DD">
        <w:t>The secondary endpoint of Rasch-Built Overall Disability Scale (R-ODS)</w:t>
      </w:r>
      <w:r w:rsidR="00444303">
        <w:t xml:space="preserve"> score</w:t>
      </w:r>
      <w:r w:rsidR="00222FFA" w:rsidRPr="002F00DD">
        <w:t xml:space="preserve">, which evaluates patient-reported ability to perform activities of daily living such as eating, bathing, dressing, and standing, and the measure of 10-meter walk test (10-MWT), which assesses gait speed, were both found to have a statistically significant difference </w:t>
      </w:r>
      <w:r w:rsidR="00444303">
        <w:t>in favor of</w:t>
      </w:r>
      <w:r w:rsidR="00444303" w:rsidRPr="002F00DD">
        <w:t xml:space="preserve"> </w:t>
      </w:r>
      <w:r w:rsidR="00316F1D">
        <w:t>ONPATTRO</w:t>
      </w:r>
      <w:r w:rsidR="00A702E9">
        <w:t xml:space="preserve"> </w:t>
      </w:r>
      <w:r w:rsidR="00222FFA" w:rsidRPr="002F00DD">
        <w:t xml:space="preserve">compared </w:t>
      </w:r>
      <w:r w:rsidR="00783F4D">
        <w:t xml:space="preserve">with </w:t>
      </w:r>
      <w:r w:rsidR="00222FFA" w:rsidRPr="002F00DD">
        <w:t>placebo (p&lt;0.001 for both measures).</w:t>
      </w:r>
      <w:r w:rsidR="00B72C6D" w:rsidRPr="00B72C6D">
        <w:rPr>
          <w:rFonts w:ascii="Calibri" w:hAnsi="Calibri" w:cs="Calibri"/>
          <w:szCs w:val="24"/>
          <w:vertAlign w:val="superscript"/>
        </w:rPr>
        <w:t>1,</w:t>
      </w:r>
      <w:r w:rsidR="00444303">
        <w:rPr>
          <w:rFonts w:ascii="Calibri" w:hAnsi="Calibri" w:cs="Calibri"/>
          <w:szCs w:val="24"/>
          <w:vertAlign w:val="superscript"/>
        </w:rPr>
        <w:t>7</w:t>
      </w:r>
      <w:r w:rsidR="00A22C0F">
        <w:t xml:space="preserve"> </w:t>
      </w:r>
    </w:p>
    <w:p w14:paraId="2F521369" w14:textId="49C8EA1A" w:rsidR="00300D41" w:rsidRPr="00A22C0F" w:rsidRDefault="00CC0037" w:rsidP="00FF3BB2">
      <w:pPr>
        <w:spacing w:line="240" w:lineRule="auto"/>
      </w:pPr>
      <w:r w:rsidRPr="006E4E44">
        <w:t>The Global OLE study showed</w:t>
      </w:r>
      <w:r>
        <w:t xml:space="preserve"> that </w:t>
      </w:r>
      <w:r w:rsidR="00133463" w:rsidRPr="004B6BB0">
        <w:t xml:space="preserve">patients originally treated with </w:t>
      </w:r>
      <w:r w:rsidR="00316F1D">
        <w:t>ONPATTRO</w:t>
      </w:r>
      <w:r w:rsidR="00133463" w:rsidRPr="004B6BB0">
        <w:t xml:space="preserve"> in APOLLO had a </w:t>
      </w:r>
      <w:r w:rsidR="0062606D" w:rsidRPr="004B6BB0">
        <w:t xml:space="preserve">sustained and durable improvement </w:t>
      </w:r>
      <w:r w:rsidR="00572F22" w:rsidRPr="004B6BB0">
        <w:t xml:space="preserve">in QOL, as measured by Norfolk QOL-DN, compared to their </w:t>
      </w:r>
      <w:r w:rsidR="0062606D" w:rsidRPr="004B6BB0">
        <w:t xml:space="preserve">APOLLO baseline  </w:t>
      </w:r>
      <w:r w:rsidR="00572F22" w:rsidRPr="004B6BB0">
        <w:t>following</w:t>
      </w:r>
      <w:r w:rsidR="00ED0075" w:rsidRPr="004B6BB0">
        <w:t xml:space="preserve"> </w:t>
      </w:r>
      <w:r w:rsidR="00440A82">
        <w:t xml:space="preserve">an additional </w:t>
      </w:r>
      <w:r w:rsidR="00280EF6">
        <w:t>36</w:t>
      </w:r>
      <w:r w:rsidR="00ED0075" w:rsidRPr="004B6BB0">
        <w:t xml:space="preserve"> months of treatment</w:t>
      </w:r>
      <w:r w:rsidR="00FD652F" w:rsidRPr="004B6BB0">
        <w:t>.</w:t>
      </w:r>
      <w:r w:rsidR="00444303" w:rsidRPr="004B6BB0">
        <w:t xml:space="preserve"> </w:t>
      </w:r>
      <w:r w:rsidR="00FD652F" w:rsidRPr="004B6BB0">
        <w:t xml:space="preserve">Additionally, patients originally treated with placebo in APOLLO had an improvement in QOL following </w:t>
      </w:r>
      <w:r w:rsidR="00280EF6">
        <w:t>36</w:t>
      </w:r>
      <w:r w:rsidR="00FD652F" w:rsidRPr="004B6BB0">
        <w:t xml:space="preserve"> months of treatment with </w:t>
      </w:r>
      <w:r w:rsidR="00316F1D">
        <w:t>ONPATTRO</w:t>
      </w:r>
      <w:r w:rsidR="00FD652F" w:rsidRPr="004B6BB0">
        <w:t xml:space="preserve"> in the</w:t>
      </w:r>
      <w:r w:rsidR="00EC618B" w:rsidRPr="004B6BB0">
        <w:t xml:space="preserve"> </w:t>
      </w:r>
      <w:r w:rsidR="00FD652F" w:rsidRPr="004B6BB0">
        <w:t>Global OLE study.</w:t>
      </w:r>
      <w:r w:rsidR="000D4E84">
        <w:rPr>
          <w:vertAlign w:val="superscript"/>
        </w:rPr>
        <w:t>8</w:t>
      </w:r>
      <w:r w:rsidR="00A22C0F" w:rsidRPr="002F00DD">
        <w:t xml:space="preserve">   </w:t>
      </w:r>
    </w:p>
    <w:p w14:paraId="7ABF75A3" w14:textId="4017E32B" w:rsidR="00300D41" w:rsidRPr="002F00DD" w:rsidRDefault="002612D1" w:rsidP="00FF3BB2">
      <w:pPr>
        <w:spacing w:line="240" w:lineRule="auto"/>
        <w:rPr>
          <w:b/>
          <w:i/>
        </w:rPr>
      </w:pPr>
      <w:r w:rsidRPr="002F00DD">
        <w:rPr>
          <w:b/>
          <w:i/>
        </w:rPr>
        <w:t>Autonomic</w:t>
      </w:r>
      <w:r w:rsidR="000525BC" w:rsidRPr="002F00DD">
        <w:rPr>
          <w:b/>
          <w:i/>
        </w:rPr>
        <w:t xml:space="preserve"> Neuropathy Manifestations and Nutritional Status</w:t>
      </w:r>
      <w:r w:rsidR="000D5201" w:rsidRPr="002F00DD">
        <w:rPr>
          <w:b/>
          <w:i/>
        </w:rPr>
        <w:t xml:space="preserve"> </w:t>
      </w:r>
      <w:r w:rsidR="00300D41" w:rsidRPr="002F00DD">
        <w:rPr>
          <w:b/>
          <w:i/>
        </w:rPr>
        <w:t xml:space="preserve"> </w:t>
      </w:r>
    </w:p>
    <w:p w14:paraId="1E10EDE5" w14:textId="72C00160" w:rsidR="00300D41" w:rsidRDefault="00E50FC4" w:rsidP="00FF3BB2">
      <w:pPr>
        <w:spacing w:line="240" w:lineRule="auto"/>
      </w:pPr>
      <w:r w:rsidRPr="002F00DD">
        <w:t>The s</w:t>
      </w:r>
      <w:r w:rsidR="00300D41" w:rsidRPr="002F00DD">
        <w:t>econdary endpoint Composite Autonomic System Symptom Score (COMPASS-31), which measures patient-reported</w:t>
      </w:r>
      <w:r w:rsidR="000525BC" w:rsidRPr="002F00DD">
        <w:t xml:space="preserve"> autonomic neuropathy</w:t>
      </w:r>
      <w:r w:rsidR="00300D41" w:rsidRPr="002F00DD">
        <w:t xml:space="preserve"> </w:t>
      </w:r>
      <w:r w:rsidRPr="002F00DD">
        <w:t>symptoms</w:t>
      </w:r>
      <w:r w:rsidR="00300D41" w:rsidRPr="002F00DD">
        <w:t xml:space="preserve"> such as dizziness, constipation, diarrhea, nausea/vomiting, and incontinence, and </w:t>
      </w:r>
      <w:r w:rsidRPr="002F00DD">
        <w:t xml:space="preserve">the </w:t>
      </w:r>
      <w:r w:rsidR="000D5201" w:rsidRPr="002F00DD">
        <w:t xml:space="preserve">modified body mass index (mBMI), which is a measure of nutritional status, both demonstrated statistically significant </w:t>
      </w:r>
      <w:r w:rsidRPr="002F00DD">
        <w:t>difference</w:t>
      </w:r>
      <w:r w:rsidR="00DE1272" w:rsidRPr="002F00DD">
        <w:t>s</w:t>
      </w:r>
      <w:r w:rsidR="000D5201" w:rsidRPr="002F00DD">
        <w:t xml:space="preserve"> </w:t>
      </w:r>
      <w:r w:rsidR="00444303">
        <w:t>in favor of</w:t>
      </w:r>
      <w:r w:rsidR="00444303" w:rsidRPr="002F00DD">
        <w:t xml:space="preserve"> </w:t>
      </w:r>
      <w:r w:rsidR="00440A82">
        <w:t>ONPATTRO</w:t>
      </w:r>
      <w:r w:rsidR="00FF3BB2">
        <w:t xml:space="preserve"> </w:t>
      </w:r>
      <w:r w:rsidR="000D5201" w:rsidRPr="002F00DD">
        <w:t xml:space="preserve">compared </w:t>
      </w:r>
      <w:r w:rsidR="00560B9C">
        <w:t>with</w:t>
      </w:r>
      <w:r w:rsidR="000D5201" w:rsidRPr="002F00DD">
        <w:t xml:space="preserve"> placebo at 18 months</w:t>
      </w:r>
      <w:r w:rsidR="000E650A" w:rsidRPr="002F00DD">
        <w:t xml:space="preserve"> (p&lt;0.001)</w:t>
      </w:r>
      <w:r w:rsidR="004F759C">
        <w:t xml:space="preserve"> in APOLLO</w:t>
      </w:r>
      <w:r w:rsidR="000D5201" w:rsidRPr="002F00DD">
        <w:t>.</w:t>
      </w:r>
      <w:r w:rsidR="00B72C6D" w:rsidRPr="00B72C6D">
        <w:rPr>
          <w:rFonts w:ascii="Calibri" w:hAnsi="Calibri" w:cs="Calibri"/>
          <w:szCs w:val="24"/>
          <w:vertAlign w:val="superscript"/>
        </w:rPr>
        <w:t>1</w:t>
      </w:r>
      <w:r w:rsidR="0064633A">
        <w:t xml:space="preserve"> </w:t>
      </w:r>
    </w:p>
    <w:p w14:paraId="57EF0B04" w14:textId="43BA9870" w:rsidR="00280EF6" w:rsidRDefault="00280EF6" w:rsidP="00280EF6">
      <w:pPr>
        <w:spacing w:line="240" w:lineRule="auto"/>
        <w:rPr>
          <w:rFonts w:cstheme="minorHAnsi"/>
        </w:rPr>
      </w:pPr>
      <w:r w:rsidRPr="008F67F3">
        <w:rPr>
          <w:b/>
        </w:rPr>
        <w:t>Post-</w:t>
      </w:r>
      <w:r w:rsidRPr="00C61101">
        <w:rPr>
          <w:b/>
        </w:rPr>
        <w:t xml:space="preserve">Orthotopic </w:t>
      </w:r>
      <w:r w:rsidR="00B3353C">
        <w:rPr>
          <w:b/>
        </w:rPr>
        <w:t>L</w:t>
      </w:r>
      <w:r w:rsidRPr="00C61101">
        <w:rPr>
          <w:b/>
        </w:rPr>
        <w:t xml:space="preserve">iver </w:t>
      </w:r>
      <w:r w:rsidR="00B3353C">
        <w:rPr>
          <w:b/>
        </w:rPr>
        <w:t>T</w:t>
      </w:r>
      <w:r w:rsidRPr="00C61101">
        <w:rPr>
          <w:b/>
        </w:rPr>
        <w:t>ransplantation</w:t>
      </w:r>
      <w:r>
        <w:rPr>
          <w:b/>
        </w:rPr>
        <w:t xml:space="preserve"> (</w:t>
      </w:r>
      <w:r w:rsidRPr="00C61101">
        <w:rPr>
          <w:b/>
        </w:rPr>
        <w:t>OLT</w:t>
      </w:r>
      <w:r>
        <w:rPr>
          <w:b/>
        </w:rPr>
        <w:t>)</w:t>
      </w:r>
      <w:r w:rsidRPr="008F67F3">
        <w:rPr>
          <w:b/>
        </w:rPr>
        <w:t xml:space="preserve"> </w:t>
      </w:r>
    </w:p>
    <w:p w14:paraId="0CB1439D" w14:textId="2C18F1CD" w:rsidR="00BB336D" w:rsidRDefault="00972AC0" w:rsidP="00972AC0">
      <w:pPr>
        <w:spacing w:line="240" w:lineRule="auto"/>
      </w:pPr>
      <w:r>
        <w:t>An ope</w:t>
      </w:r>
      <w:r w:rsidR="00150C36">
        <w:t>n-</w:t>
      </w:r>
      <w:r>
        <w:t>label study was done to evaluate safety</w:t>
      </w:r>
      <w:r w:rsidR="00006888">
        <w:t xml:space="preserve"> and</w:t>
      </w:r>
      <w:r>
        <w:t xml:space="preserve"> efficacy of patisiran in patients with hereditary transthyretin-mediated amyloidosis (hATTR amyloidosis) with </w:t>
      </w:r>
      <w:r w:rsidR="00F93915" w:rsidRPr="00F93915">
        <w:t xml:space="preserve">polyneuropathy </w:t>
      </w:r>
      <w:r>
        <w:t>progression post-orthotopic liver transplant.</w:t>
      </w:r>
      <w:r w:rsidR="00FC077F">
        <w:t xml:space="preserve"> </w:t>
      </w:r>
      <w:r w:rsidR="00280EF6">
        <w:t xml:space="preserve">In the Post-OLT Study, the primary endpoint was the average of Month 6 and Month 12 </w:t>
      </w:r>
      <w:r w:rsidR="001D159A" w:rsidRPr="001D159A">
        <w:t xml:space="preserve">percent </w:t>
      </w:r>
      <w:r w:rsidR="00280EF6">
        <w:t xml:space="preserve">reduction from baseline in serum </w:t>
      </w:r>
      <w:r w:rsidR="001D159A" w:rsidRPr="001D159A">
        <w:t xml:space="preserve">transthyretin </w:t>
      </w:r>
      <w:r w:rsidR="00280EF6">
        <w:t>(TTR). Analysis of this endpoint showed that patients treated with ONPATTRO experienced a rapid and sustained reduction in serum TTR levels. Averaged across Months 6 and 12, the median</w:t>
      </w:r>
      <w:r w:rsidR="006537D1">
        <w:t xml:space="preserve"> </w:t>
      </w:r>
      <w:r w:rsidR="00157DA4" w:rsidRPr="00157DA4">
        <w:t xml:space="preserve">percent reduction from baseline in serum TTR </w:t>
      </w:r>
      <w:r w:rsidR="00280EF6">
        <w:t>was 91.0% (</w:t>
      </w:r>
      <w:r w:rsidR="004C0DBF" w:rsidRPr="004C0DBF">
        <w:t xml:space="preserve">95% CI: </w:t>
      </w:r>
      <w:r w:rsidR="00280EF6">
        <w:t>86.1, 92.3; p&lt;0.001).</w:t>
      </w:r>
      <w:r w:rsidR="00280EF6" w:rsidRPr="2448538F">
        <w:rPr>
          <w:vertAlign w:val="superscript"/>
        </w:rPr>
        <w:t>9</w:t>
      </w:r>
      <w:r w:rsidR="00280EF6">
        <w:t xml:space="preserve"> </w:t>
      </w:r>
    </w:p>
    <w:p w14:paraId="3F7F712F" w14:textId="4237A32C" w:rsidR="00205E85" w:rsidRPr="00205E85" w:rsidRDefault="00205E85" w:rsidP="00205E85">
      <w:pPr>
        <w:spacing w:after="0" w:line="240" w:lineRule="auto"/>
        <w:rPr>
          <w:i/>
          <w:iCs/>
        </w:rPr>
      </w:pPr>
      <w:r w:rsidRPr="00205E85">
        <w:rPr>
          <w:i/>
          <w:iCs/>
        </w:rPr>
        <w:t>Additional content to support use of patisiran in patients with prior liver transplant:</w:t>
      </w:r>
    </w:p>
    <w:p w14:paraId="38570BFF" w14:textId="2CCBDEF7" w:rsidR="00280EF6" w:rsidRPr="00BB336D" w:rsidRDefault="00BB336D" w:rsidP="00205E85">
      <w:pPr>
        <w:spacing w:after="0" w:line="240" w:lineRule="auto"/>
      </w:pPr>
      <w:r>
        <w:t>[</w:t>
      </w:r>
      <w:r w:rsidR="00280EF6">
        <w:t xml:space="preserve">Analyses of secondary endpoints showed improvement in neuropathy, quality of life, and autonomic symptoms with ONPATTRO treatment, demonstrated by decreases from baseline to Month 12 in NIS score (mean [SEM] change from baseline of –3.7 [2.7]), Norfolk QOL-DN score (mean [SEM] change from baseline of –6.5 [4.9]), and COMPASS 31 score (LS mean [SEM] change from baseline of –5.0 [2.6]), respectively. Through 12 months of ONPATTRO treatment, measures of disability in activities of daily living and social participation (R-ODS score) and nutritional status (mBMI) appeared to be stable compared </w:t>
      </w:r>
      <w:r w:rsidR="00AD1BA0">
        <w:t xml:space="preserve">to </w:t>
      </w:r>
      <w:r w:rsidR="00280EF6">
        <w:t>baseline (mean [SEM] change from baseline of</w:t>
      </w:r>
      <w:r w:rsidR="00CC5EEB">
        <w:t xml:space="preserve"> </w:t>
      </w:r>
      <w:r w:rsidR="00280EF6">
        <w:t>–0.1 [1.1] for R</w:t>
      </w:r>
      <w:r w:rsidR="00CC5EEB">
        <w:t>-</w:t>
      </w:r>
      <w:r w:rsidR="00280EF6">
        <w:t>ODS, and +4.4 [21.8] for mBMI).</w:t>
      </w:r>
      <w:r w:rsidR="00AA7BA7">
        <w:rPr>
          <w:vertAlign w:val="superscript"/>
        </w:rPr>
        <w:t>9</w:t>
      </w:r>
      <w:r w:rsidR="00271283" w:rsidDel="00271283">
        <w:rPr>
          <w:vertAlign w:val="superscript"/>
        </w:rPr>
        <w:t xml:space="preserve"> </w:t>
      </w:r>
      <w:r>
        <w:t>]</w:t>
      </w:r>
    </w:p>
    <w:p w14:paraId="03AFCB9B" w14:textId="77777777" w:rsidR="005B701E" w:rsidRPr="002F00DD" w:rsidRDefault="00B40035" w:rsidP="00B92CB2">
      <w:pPr>
        <w:spacing w:line="240" w:lineRule="auto"/>
        <w:rPr>
          <w:b/>
          <w:i/>
        </w:rPr>
      </w:pPr>
      <w:r w:rsidRPr="002F00DD">
        <w:rPr>
          <w:b/>
          <w:i/>
        </w:rPr>
        <w:t>Safety Profile</w:t>
      </w:r>
    </w:p>
    <w:p w14:paraId="588E1D78" w14:textId="7AB9D9AA" w:rsidR="00E2048F" w:rsidRPr="004B6BB0" w:rsidRDefault="00DA48FA" w:rsidP="00FF3BB2">
      <w:pPr>
        <w:keepNext/>
        <w:spacing w:line="240" w:lineRule="auto"/>
        <w:rPr>
          <w:vertAlign w:val="superscript"/>
        </w:rPr>
      </w:pPr>
      <w:r>
        <w:t>I</w:t>
      </w:r>
      <w:r w:rsidR="002B62C2" w:rsidRPr="002F00DD">
        <w:t xml:space="preserve">n the </w:t>
      </w:r>
      <w:r w:rsidR="00B40035" w:rsidRPr="002F00DD">
        <w:t>pivotal Phase 3 trial</w:t>
      </w:r>
      <w:r w:rsidR="002B62C2" w:rsidRPr="002F00DD">
        <w:t>, APOLLO</w:t>
      </w:r>
      <w:r>
        <w:t>, t</w:t>
      </w:r>
      <w:r w:rsidR="00E2048F" w:rsidRPr="002F00DD">
        <w:t xml:space="preserve">he most frequently reported adverse reactions that occurred in at least </w:t>
      </w:r>
      <w:r w:rsidR="00347979">
        <w:t>10</w:t>
      </w:r>
      <w:r>
        <w:t>%</w:t>
      </w:r>
      <w:r w:rsidR="00E2048F" w:rsidRPr="002F00DD">
        <w:t xml:space="preserve"> of </w:t>
      </w:r>
      <w:r w:rsidR="00316F1D">
        <w:t>ONPATTRO</w:t>
      </w:r>
      <w:r w:rsidR="00E2048F" w:rsidRPr="002F00DD">
        <w:t>-treated patients and occurred at least 3</w:t>
      </w:r>
      <w:r>
        <w:t>%</w:t>
      </w:r>
      <w:r w:rsidR="00E2048F" w:rsidRPr="002F00DD">
        <w:t xml:space="preserve"> more</w:t>
      </w:r>
      <w:r>
        <w:t xml:space="preserve"> frequently</w:t>
      </w:r>
      <w:r w:rsidR="00E2048F" w:rsidRPr="002F00DD">
        <w:t xml:space="preserve"> than</w:t>
      </w:r>
      <w:r>
        <w:t xml:space="preserve"> in the</w:t>
      </w:r>
      <w:r w:rsidR="00E2048F" w:rsidRPr="002F00DD">
        <w:t xml:space="preserve"> placebo</w:t>
      </w:r>
      <w:r w:rsidR="00B75656">
        <w:t xml:space="preserve">-treated </w:t>
      </w:r>
      <w:r w:rsidR="00E2048F" w:rsidRPr="004B6BB0">
        <w:t>patients were</w:t>
      </w:r>
      <w:r w:rsidR="00BC7237" w:rsidRPr="004B6BB0">
        <w:t xml:space="preserve"> upper respiratory tract infections (29% vs 21%)</w:t>
      </w:r>
      <w:r w:rsidR="007D758B" w:rsidRPr="004B6BB0">
        <w:t xml:space="preserve"> and</w:t>
      </w:r>
      <w:r w:rsidR="00E2048F" w:rsidRPr="004B6BB0">
        <w:t xml:space="preserve"> infusion-related reactions</w:t>
      </w:r>
      <w:r w:rsidR="00CC769B" w:rsidRPr="004B6BB0">
        <w:t xml:space="preserve"> (19% vs 9%)</w:t>
      </w:r>
      <w:r w:rsidR="00E2048F" w:rsidRPr="004B6BB0">
        <w:t>.</w:t>
      </w:r>
      <w:r w:rsidR="00B72C6D" w:rsidRPr="00B72C6D">
        <w:rPr>
          <w:rFonts w:ascii="Calibri" w:hAnsi="Calibri" w:cs="Calibri"/>
          <w:szCs w:val="24"/>
          <w:vertAlign w:val="superscript"/>
        </w:rPr>
        <w:t>1</w:t>
      </w:r>
      <w:r w:rsidR="00E2048F" w:rsidRPr="004B6BB0">
        <w:t xml:space="preserve"> </w:t>
      </w:r>
      <w:r w:rsidR="00ED6FDE" w:rsidRPr="004B6BB0">
        <w:t xml:space="preserve">The safety profile of </w:t>
      </w:r>
      <w:r w:rsidR="00316F1D">
        <w:t>ONPATTRO</w:t>
      </w:r>
      <w:r w:rsidR="00ED6FDE" w:rsidRPr="004B6BB0">
        <w:t xml:space="preserve"> remains consistent with previous studies </w:t>
      </w:r>
      <w:r w:rsidR="002C60EF" w:rsidRPr="004B6BB0">
        <w:t>following</w:t>
      </w:r>
      <w:r w:rsidR="00ED6FDE" w:rsidRPr="004B6BB0">
        <w:t xml:space="preserve"> an </w:t>
      </w:r>
      <w:r w:rsidR="00ED6FDE" w:rsidRPr="004B6BB0">
        <w:lastRenderedPageBreak/>
        <w:t xml:space="preserve">additional </w:t>
      </w:r>
      <w:r w:rsidR="00006888">
        <w:t>36</w:t>
      </w:r>
      <w:r w:rsidR="00ED6FDE" w:rsidRPr="004B6BB0">
        <w:t xml:space="preserve"> months of </w:t>
      </w:r>
      <w:r w:rsidR="00316F1D">
        <w:t>ONPATTRO</w:t>
      </w:r>
      <w:r w:rsidR="00ED6FDE" w:rsidRPr="004B6BB0">
        <w:t xml:space="preserve"> dosing in the</w:t>
      </w:r>
      <w:r w:rsidR="00D90707" w:rsidRPr="004B6BB0">
        <w:t xml:space="preserve"> </w:t>
      </w:r>
      <w:r w:rsidR="00ED6FDE" w:rsidRPr="004B6BB0">
        <w:t>Global OLE study</w:t>
      </w:r>
      <w:r w:rsidR="00006888">
        <w:t xml:space="preserve"> and </w:t>
      </w:r>
      <w:r w:rsidR="00FF1E0B" w:rsidRPr="00FF1E0B">
        <w:t>in the post-OLT</w:t>
      </w:r>
      <w:r w:rsidR="00006888">
        <w:t xml:space="preserve"> study.</w:t>
      </w:r>
      <w:r w:rsidR="00ED6FDE" w:rsidRPr="004B6BB0">
        <w:t xml:space="preserve"> </w:t>
      </w:r>
      <w:r w:rsidR="00316F1D">
        <w:t>ONPATTRO</w:t>
      </w:r>
      <w:r w:rsidR="00ED6FDE" w:rsidRPr="004B6BB0">
        <w:t xml:space="preserve"> continues to show a positive </w:t>
      </w:r>
      <w:proofErr w:type="spellStart"/>
      <w:r w:rsidR="00ED6FDE" w:rsidRPr="004B6BB0">
        <w:t>benefit:risk</w:t>
      </w:r>
      <w:proofErr w:type="spellEnd"/>
      <w:r w:rsidR="00ED6FDE" w:rsidRPr="004B6BB0">
        <w:t xml:space="preserve"> profile.</w:t>
      </w:r>
      <w:r w:rsidR="00431828">
        <w:rPr>
          <w:rFonts w:ascii="Calibri" w:hAnsi="Calibri" w:cs="Calibri"/>
          <w:szCs w:val="24"/>
          <w:vertAlign w:val="superscript"/>
        </w:rPr>
        <w:t>8-9</w:t>
      </w:r>
    </w:p>
    <w:p w14:paraId="1FE66AAB" w14:textId="33369463" w:rsidR="001D7687" w:rsidRPr="002F00DD" w:rsidRDefault="00AD61D2" w:rsidP="00FF3BB2">
      <w:pPr>
        <w:keepNext/>
        <w:spacing w:line="240" w:lineRule="auto"/>
      </w:pPr>
      <w:r w:rsidRPr="00AD61D2">
        <w:t>ONPATTRO treatment leads to a decrease in serum vitamin A levels. Supplementation at the recommended daily allowance of vitamin A is advised for patients taking ONPATTRO</w:t>
      </w:r>
      <w:r w:rsidR="001D7687" w:rsidRPr="002F00DD">
        <w:t>.</w:t>
      </w:r>
      <w:r w:rsidR="00B72C6D" w:rsidRPr="00B72C6D">
        <w:rPr>
          <w:rFonts w:ascii="Calibri" w:hAnsi="Calibri" w:cs="Calibri"/>
          <w:szCs w:val="24"/>
          <w:vertAlign w:val="superscript"/>
        </w:rPr>
        <w:t>1</w:t>
      </w:r>
      <w:r w:rsidR="001D7687" w:rsidRPr="002F00DD">
        <w:t xml:space="preserve"> </w:t>
      </w:r>
    </w:p>
    <w:p w14:paraId="0CBD69E7" w14:textId="77777777" w:rsidR="00552A8B" w:rsidRDefault="00552A8B" w:rsidP="00FF3BB2">
      <w:pPr>
        <w:spacing w:line="240" w:lineRule="auto"/>
        <w:rPr>
          <w:b/>
        </w:rPr>
      </w:pPr>
    </w:p>
    <w:p w14:paraId="55F906B8" w14:textId="1C4B3859" w:rsidR="002B0B60" w:rsidRPr="002F00DD" w:rsidRDefault="002B0B60" w:rsidP="00FF3BB2">
      <w:pPr>
        <w:spacing w:line="240" w:lineRule="auto"/>
        <w:rPr>
          <w:b/>
        </w:rPr>
      </w:pPr>
      <w:r w:rsidRPr="002F00DD">
        <w:rPr>
          <w:b/>
        </w:rPr>
        <w:t>Closing Remarks</w:t>
      </w:r>
    </w:p>
    <w:p w14:paraId="4D83B522" w14:textId="7E32AD6B" w:rsidR="00BD0D93" w:rsidRPr="002F00DD" w:rsidRDefault="00472D4F" w:rsidP="00FF3BB2">
      <w:pPr>
        <w:spacing w:line="240" w:lineRule="auto"/>
        <w:rPr>
          <w:i/>
          <w:color w:val="7F7F7F" w:themeColor="text1" w:themeTint="80"/>
        </w:rPr>
      </w:pPr>
      <w:r w:rsidRPr="002F00DD">
        <w:rPr>
          <w:i/>
          <w:color w:val="7F7F7F" w:themeColor="text1" w:themeTint="80"/>
        </w:rPr>
        <w:t>[Please provide closing comments relative to this patient’s case (e.g., g</w:t>
      </w:r>
      <w:r w:rsidR="002B0B60" w:rsidRPr="002F00DD">
        <w:rPr>
          <w:i/>
          <w:color w:val="7F7F7F" w:themeColor="text1" w:themeTint="80"/>
        </w:rPr>
        <w:t xml:space="preserve">iven the </w:t>
      </w:r>
      <w:r w:rsidRPr="002F00DD">
        <w:rPr>
          <w:i/>
          <w:color w:val="7F7F7F" w:themeColor="text1" w:themeTint="80"/>
        </w:rPr>
        <w:t>patient’s existing signs and symptoms, the rapidly progressive nature</w:t>
      </w:r>
      <w:r w:rsidR="00BC7237" w:rsidRPr="002F00DD">
        <w:rPr>
          <w:i/>
          <w:color w:val="7F7F7F" w:themeColor="text1" w:themeTint="80"/>
        </w:rPr>
        <w:t xml:space="preserve"> of</w:t>
      </w:r>
      <w:r w:rsidRPr="002F00DD">
        <w:rPr>
          <w:i/>
          <w:color w:val="7F7F7F" w:themeColor="text1" w:themeTint="80"/>
        </w:rPr>
        <w:t xml:space="preserve"> hATTR amyloidosis, and the existing efficacy and safety of </w:t>
      </w:r>
      <w:r w:rsidR="00316F1D">
        <w:rPr>
          <w:i/>
          <w:color w:val="7F7F7F" w:themeColor="text1" w:themeTint="80"/>
        </w:rPr>
        <w:t>ONPATTRO</w:t>
      </w:r>
      <w:r w:rsidRPr="002F00DD">
        <w:rPr>
          <w:i/>
          <w:color w:val="7F7F7F" w:themeColor="text1" w:themeTint="80"/>
        </w:rPr>
        <w:t xml:space="preserve">, </w:t>
      </w:r>
      <w:r w:rsidR="003A27B5" w:rsidRPr="002F00DD">
        <w:rPr>
          <w:i/>
          <w:color w:val="7F7F7F" w:themeColor="text1" w:themeTint="80"/>
        </w:rPr>
        <w:t xml:space="preserve">it is medically necessary and appropriate to initiate </w:t>
      </w:r>
      <w:r w:rsidR="00316F1D">
        <w:rPr>
          <w:i/>
          <w:color w:val="7F7F7F" w:themeColor="text1" w:themeTint="80"/>
        </w:rPr>
        <w:t>ONPATTRO</w:t>
      </w:r>
      <w:r w:rsidR="00F41CAA" w:rsidRPr="002F00DD">
        <w:rPr>
          <w:i/>
          <w:color w:val="7F7F7F" w:themeColor="text1" w:themeTint="80"/>
        </w:rPr>
        <w:t xml:space="preserve"> </w:t>
      </w:r>
      <w:r w:rsidR="003A27B5" w:rsidRPr="002F00DD">
        <w:rPr>
          <w:i/>
          <w:color w:val="7F7F7F" w:themeColor="text1" w:themeTint="80"/>
        </w:rPr>
        <w:t>therapy using the FDA</w:t>
      </w:r>
      <w:r w:rsidR="00DA48FA">
        <w:rPr>
          <w:i/>
          <w:color w:val="7F7F7F" w:themeColor="text1" w:themeTint="80"/>
        </w:rPr>
        <w:t>-</w:t>
      </w:r>
      <w:r w:rsidR="003A27B5" w:rsidRPr="002F00DD">
        <w:rPr>
          <w:i/>
          <w:color w:val="7F7F7F" w:themeColor="text1" w:themeTint="80"/>
        </w:rPr>
        <w:t>approved dosing regimen.</w:t>
      </w:r>
      <w:r w:rsidR="00BD0D93" w:rsidRPr="002F00DD">
        <w:rPr>
          <w:i/>
          <w:color w:val="7F7F7F" w:themeColor="text1" w:themeTint="80"/>
        </w:rPr>
        <w:t>]</w:t>
      </w:r>
    </w:p>
    <w:p w14:paraId="50C8AF98" w14:textId="77777777" w:rsidR="00BD0D93" w:rsidRPr="002F00DD" w:rsidRDefault="00BD0D93" w:rsidP="00FF3BB2">
      <w:pPr>
        <w:spacing w:line="240" w:lineRule="auto"/>
      </w:pPr>
      <w:r w:rsidRPr="002F00DD">
        <w:t xml:space="preserve">Please contact my office at </w:t>
      </w:r>
      <w:r w:rsidRPr="002F00DD">
        <w:rPr>
          <w:color w:val="7F7F7F" w:themeColor="text1" w:themeTint="80"/>
        </w:rPr>
        <w:t>[insert phone number]</w:t>
      </w:r>
      <w:r w:rsidRPr="002F00DD">
        <w:t xml:space="preserve"> if more information is needed. I look forward to receiving your timely response </w:t>
      </w:r>
      <w:r w:rsidR="00440953" w:rsidRPr="002F00DD">
        <w:t xml:space="preserve">to </w:t>
      </w:r>
      <w:r w:rsidRPr="002F00DD">
        <w:t>this claim.</w:t>
      </w:r>
    </w:p>
    <w:p w14:paraId="3E0536AE" w14:textId="77777777" w:rsidR="00BD0D93" w:rsidRPr="002F00DD" w:rsidRDefault="00BD0D93" w:rsidP="00FF3BB2">
      <w:pPr>
        <w:spacing w:line="240" w:lineRule="auto"/>
      </w:pPr>
    </w:p>
    <w:p w14:paraId="690F9098" w14:textId="77777777" w:rsidR="00BD0D93" w:rsidRPr="002F00DD" w:rsidRDefault="00BD0D93" w:rsidP="00FF3BB2">
      <w:pPr>
        <w:spacing w:line="240" w:lineRule="auto"/>
      </w:pPr>
      <w:r w:rsidRPr="002F00DD">
        <w:t>Sincerely,</w:t>
      </w:r>
    </w:p>
    <w:p w14:paraId="152AF9D4" w14:textId="77777777" w:rsidR="00BD0D93" w:rsidRPr="002F00DD" w:rsidRDefault="00BD0D93" w:rsidP="00FF3BB2">
      <w:pPr>
        <w:spacing w:line="240" w:lineRule="auto"/>
      </w:pPr>
    </w:p>
    <w:p w14:paraId="2CBEEEFE" w14:textId="77777777" w:rsidR="00DE6279" w:rsidRPr="002F00DD" w:rsidRDefault="00DE6279" w:rsidP="00FF3BB2">
      <w:pPr>
        <w:spacing w:line="240" w:lineRule="auto"/>
      </w:pPr>
    </w:p>
    <w:p w14:paraId="33E349DC" w14:textId="77777777" w:rsidR="002B0B60" w:rsidRPr="002F00DD" w:rsidRDefault="00BD0D93" w:rsidP="00FF3BB2">
      <w:pPr>
        <w:spacing w:line="240" w:lineRule="auto"/>
        <w:rPr>
          <w:color w:val="7F7F7F" w:themeColor="text1" w:themeTint="80"/>
        </w:rPr>
      </w:pPr>
      <w:r w:rsidRPr="002F00DD">
        <w:rPr>
          <w:color w:val="7F7F7F" w:themeColor="text1" w:themeTint="80"/>
        </w:rPr>
        <w:t>[Insert physician name and provider number]</w:t>
      </w:r>
      <w:r w:rsidR="003A27B5" w:rsidRPr="002F00DD">
        <w:rPr>
          <w:color w:val="7F7F7F" w:themeColor="text1" w:themeTint="80"/>
        </w:rPr>
        <w:t xml:space="preserve"> </w:t>
      </w:r>
    </w:p>
    <w:p w14:paraId="573E8EB2" w14:textId="7A55AFDF" w:rsidR="00BE74B9" w:rsidRDefault="001D7687" w:rsidP="00FF3BB2">
      <w:pPr>
        <w:spacing w:line="240" w:lineRule="auto"/>
      </w:pPr>
      <w:r w:rsidRPr="002F00DD">
        <w:rPr>
          <w:color w:val="7F7F7F" w:themeColor="text1" w:themeTint="80"/>
        </w:rPr>
        <w:t>[Attachments: describe]</w:t>
      </w:r>
    </w:p>
    <w:p w14:paraId="2E219606" w14:textId="77777777" w:rsidR="00552A8B" w:rsidRDefault="00552A8B">
      <w:pPr>
        <w:rPr>
          <w:rFonts w:cstheme="minorHAnsi"/>
          <w:b/>
        </w:rPr>
      </w:pPr>
      <w:r>
        <w:rPr>
          <w:rFonts w:cstheme="minorHAnsi"/>
          <w:b/>
        </w:rPr>
        <w:br w:type="page"/>
      </w:r>
    </w:p>
    <w:p w14:paraId="4F1DD150" w14:textId="03D56F75" w:rsidR="00052D0E" w:rsidRDefault="00052D0E" w:rsidP="00AD61D2">
      <w:pPr>
        <w:spacing w:line="240" w:lineRule="auto"/>
        <w:rPr>
          <w:rFonts w:cstheme="minorHAnsi"/>
          <w:b/>
        </w:rPr>
      </w:pPr>
      <w:r w:rsidRPr="009817C4">
        <w:rPr>
          <w:rFonts w:cstheme="minorHAnsi"/>
          <w:b/>
        </w:rPr>
        <w:lastRenderedPageBreak/>
        <w:t>References:</w:t>
      </w:r>
    </w:p>
    <w:p w14:paraId="11FAA623" w14:textId="2037BDA1" w:rsidR="0009459E" w:rsidRPr="0009459E" w:rsidRDefault="0009459E" w:rsidP="00DB4A1D">
      <w:pPr>
        <w:pStyle w:val="Bibliography"/>
        <w:numPr>
          <w:ilvl w:val="0"/>
          <w:numId w:val="18"/>
        </w:numPr>
        <w:spacing w:line="240" w:lineRule="auto"/>
        <w:ind w:left="360"/>
        <w:rPr>
          <w:rFonts w:ascii="Calibri" w:hAnsi="Calibri" w:cs="Calibri"/>
        </w:rPr>
      </w:pPr>
      <w:bookmarkStart w:id="2" w:name="_Hlk149119950"/>
      <w:r w:rsidRPr="0009459E">
        <w:rPr>
          <w:rFonts w:ascii="Calibri" w:hAnsi="Calibri" w:cs="Calibri"/>
        </w:rPr>
        <w:t>ONPATTRO (</w:t>
      </w:r>
      <w:r w:rsidR="00444303">
        <w:rPr>
          <w:rFonts w:ascii="Calibri" w:hAnsi="Calibri" w:cs="Calibri"/>
        </w:rPr>
        <w:t>patisiran</w:t>
      </w:r>
      <w:r w:rsidRPr="0009459E">
        <w:rPr>
          <w:rFonts w:ascii="Calibri" w:hAnsi="Calibri" w:cs="Calibri"/>
        </w:rPr>
        <w:t>)</w:t>
      </w:r>
      <w:r w:rsidR="00444303">
        <w:rPr>
          <w:rFonts w:ascii="Calibri" w:hAnsi="Calibri" w:cs="Calibri"/>
        </w:rPr>
        <w:t xml:space="preserve"> Prescribing Information</w:t>
      </w:r>
      <w:r w:rsidRPr="0009459E">
        <w:rPr>
          <w:rFonts w:ascii="Calibri" w:hAnsi="Calibri" w:cs="Calibri"/>
        </w:rPr>
        <w:t xml:space="preserve"> [package insert]. Cambridge, MA: Alnylam Pharmaceuticals, Inc.</w:t>
      </w:r>
    </w:p>
    <w:p w14:paraId="57C43DCB" w14:textId="15727FBD" w:rsidR="0009459E" w:rsidRPr="0009459E" w:rsidRDefault="0009459E" w:rsidP="00DB4A1D">
      <w:pPr>
        <w:pStyle w:val="Bibliography"/>
        <w:numPr>
          <w:ilvl w:val="0"/>
          <w:numId w:val="18"/>
        </w:numPr>
        <w:spacing w:line="240" w:lineRule="auto"/>
        <w:ind w:left="360"/>
        <w:rPr>
          <w:rFonts w:ascii="Calibri" w:hAnsi="Calibri" w:cs="Calibri"/>
        </w:rPr>
      </w:pPr>
      <w:r w:rsidRPr="0009459E">
        <w:rPr>
          <w:rFonts w:ascii="Calibri" w:hAnsi="Calibri" w:cs="Calibri"/>
        </w:rPr>
        <w:t xml:space="preserve">Ando Y, Coelho T, Berk JL, et al. Guideline of transthyretin-related hereditary amyloidosis for clinicians. </w:t>
      </w:r>
      <w:proofErr w:type="spellStart"/>
      <w:r w:rsidRPr="0009459E">
        <w:rPr>
          <w:rFonts w:ascii="Calibri" w:hAnsi="Calibri" w:cs="Calibri"/>
          <w:i/>
          <w:iCs/>
        </w:rPr>
        <w:t>Orphanet</w:t>
      </w:r>
      <w:proofErr w:type="spellEnd"/>
      <w:r w:rsidRPr="0009459E">
        <w:rPr>
          <w:rFonts w:ascii="Calibri" w:hAnsi="Calibri" w:cs="Calibri"/>
          <w:i/>
          <w:iCs/>
        </w:rPr>
        <w:t xml:space="preserve"> J Rare Dis</w:t>
      </w:r>
      <w:r w:rsidRPr="0009459E">
        <w:rPr>
          <w:rFonts w:ascii="Calibri" w:hAnsi="Calibri" w:cs="Calibri"/>
        </w:rPr>
        <w:t>. 2013;8:31. doi:10.1186/1750-1172-8-31</w:t>
      </w:r>
    </w:p>
    <w:p w14:paraId="1E836D9D" w14:textId="236D5797" w:rsidR="0009459E" w:rsidRPr="0009459E" w:rsidRDefault="0009459E" w:rsidP="00DB4A1D">
      <w:pPr>
        <w:pStyle w:val="Bibliography"/>
        <w:numPr>
          <w:ilvl w:val="0"/>
          <w:numId w:val="18"/>
        </w:numPr>
        <w:spacing w:line="240" w:lineRule="auto"/>
        <w:ind w:left="360"/>
        <w:rPr>
          <w:rFonts w:ascii="Calibri" w:hAnsi="Calibri" w:cs="Calibri"/>
        </w:rPr>
      </w:pPr>
      <w:r w:rsidRPr="0009459E">
        <w:rPr>
          <w:rFonts w:ascii="Calibri" w:hAnsi="Calibri" w:cs="Calibri"/>
        </w:rPr>
        <w:t xml:space="preserve">Adams D, Suhr OB, Hund E, et al. First European consensus for diagnosis, management, and treatment of transthyretin familial amyloid polyneuropathy. </w:t>
      </w:r>
      <w:proofErr w:type="spellStart"/>
      <w:r w:rsidRPr="0009459E">
        <w:rPr>
          <w:rFonts w:ascii="Calibri" w:hAnsi="Calibri" w:cs="Calibri"/>
          <w:i/>
          <w:iCs/>
        </w:rPr>
        <w:t>Curr</w:t>
      </w:r>
      <w:proofErr w:type="spellEnd"/>
      <w:r w:rsidRPr="0009459E">
        <w:rPr>
          <w:rFonts w:ascii="Calibri" w:hAnsi="Calibri" w:cs="Calibri"/>
          <w:i/>
          <w:iCs/>
        </w:rPr>
        <w:t xml:space="preserve"> </w:t>
      </w:r>
      <w:proofErr w:type="spellStart"/>
      <w:r w:rsidRPr="0009459E">
        <w:rPr>
          <w:rFonts w:ascii="Calibri" w:hAnsi="Calibri" w:cs="Calibri"/>
          <w:i/>
          <w:iCs/>
        </w:rPr>
        <w:t>Opin</w:t>
      </w:r>
      <w:proofErr w:type="spellEnd"/>
      <w:r w:rsidRPr="0009459E">
        <w:rPr>
          <w:rFonts w:ascii="Calibri" w:hAnsi="Calibri" w:cs="Calibri"/>
          <w:i/>
          <w:iCs/>
        </w:rPr>
        <w:t xml:space="preserve"> Neurol</w:t>
      </w:r>
      <w:r w:rsidRPr="0009459E">
        <w:rPr>
          <w:rFonts w:ascii="Calibri" w:hAnsi="Calibri" w:cs="Calibri"/>
        </w:rPr>
        <w:t xml:space="preserve">. 2016;29 </w:t>
      </w:r>
      <w:r w:rsidR="00444303">
        <w:rPr>
          <w:rFonts w:ascii="Calibri" w:hAnsi="Calibri" w:cs="Calibri"/>
        </w:rPr>
        <w:t>(</w:t>
      </w:r>
      <w:r w:rsidRPr="0009459E">
        <w:rPr>
          <w:rFonts w:ascii="Calibri" w:hAnsi="Calibri" w:cs="Calibri"/>
        </w:rPr>
        <w:t>Suppl 1</w:t>
      </w:r>
      <w:r w:rsidR="00444303">
        <w:rPr>
          <w:rFonts w:ascii="Calibri" w:hAnsi="Calibri" w:cs="Calibri"/>
        </w:rPr>
        <w:t>)</w:t>
      </w:r>
      <w:r w:rsidRPr="0009459E">
        <w:rPr>
          <w:rFonts w:ascii="Calibri" w:hAnsi="Calibri" w:cs="Calibri"/>
        </w:rPr>
        <w:t>:S14-26. doi:10.1097/WCO.0000000000000289</w:t>
      </w:r>
    </w:p>
    <w:p w14:paraId="3310E3D9" w14:textId="3365C83A" w:rsidR="0009459E" w:rsidRPr="0009459E" w:rsidRDefault="0009459E" w:rsidP="00DB4A1D">
      <w:pPr>
        <w:pStyle w:val="Bibliography"/>
        <w:numPr>
          <w:ilvl w:val="0"/>
          <w:numId w:val="18"/>
        </w:numPr>
        <w:spacing w:line="240" w:lineRule="auto"/>
        <w:ind w:left="360"/>
        <w:rPr>
          <w:rFonts w:ascii="Calibri" w:hAnsi="Calibri" w:cs="Calibri"/>
        </w:rPr>
      </w:pPr>
      <w:r w:rsidRPr="0009459E">
        <w:rPr>
          <w:rFonts w:ascii="Calibri" w:hAnsi="Calibri" w:cs="Calibri"/>
        </w:rPr>
        <w:t xml:space="preserve">Adams D, Ando Y, </w:t>
      </w:r>
      <w:proofErr w:type="spellStart"/>
      <w:r w:rsidRPr="0009459E">
        <w:rPr>
          <w:rFonts w:ascii="Calibri" w:hAnsi="Calibri" w:cs="Calibri"/>
        </w:rPr>
        <w:t>Beirão</w:t>
      </w:r>
      <w:proofErr w:type="spellEnd"/>
      <w:r w:rsidRPr="0009459E">
        <w:rPr>
          <w:rFonts w:ascii="Calibri" w:hAnsi="Calibri" w:cs="Calibri"/>
        </w:rPr>
        <w:t xml:space="preserve"> JM, et al. Expert consensus recommendations to improve diagnosis of ATTR amyloidosis with polyneuropathy. </w:t>
      </w:r>
      <w:r w:rsidRPr="0009459E">
        <w:rPr>
          <w:rFonts w:ascii="Calibri" w:hAnsi="Calibri" w:cs="Calibri"/>
          <w:i/>
          <w:iCs/>
        </w:rPr>
        <w:t>J Neurol</w:t>
      </w:r>
      <w:r w:rsidRPr="0009459E">
        <w:rPr>
          <w:rFonts w:ascii="Calibri" w:hAnsi="Calibri" w:cs="Calibri"/>
        </w:rPr>
        <w:t>. 2021;268(6):2109-2122. doi:10.1007/s00415-019-09688-0</w:t>
      </w:r>
    </w:p>
    <w:p w14:paraId="7396A641" w14:textId="649B3C9E" w:rsidR="00444303" w:rsidRDefault="0009459E" w:rsidP="00444303">
      <w:pPr>
        <w:pStyle w:val="Bibliography"/>
        <w:numPr>
          <w:ilvl w:val="0"/>
          <w:numId w:val="18"/>
        </w:numPr>
        <w:spacing w:line="240" w:lineRule="auto"/>
        <w:ind w:left="360"/>
        <w:rPr>
          <w:rFonts w:ascii="Calibri" w:hAnsi="Calibri" w:cs="Calibri"/>
        </w:rPr>
      </w:pPr>
      <w:r w:rsidRPr="0009459E">
        <w:rPr>
          <w:rFonts w:ascii="Calibri" w:hAnsi="Calibri" w:cs="Calibri"/>
        </w:rPr>
        <w:t xml:space="preserve">Conceição I, González-Duarte A, </w:t>
      </w:r>
      <w:proofErr w:type="spellStart"/>
      <w:r w:rsidRPr="0009459E">
        <w:rPr>
          <w:rFonts w:ascii="Calibri" w:hAnsi="Calibri" w:cs="Calibri"/>
        </w:rPr>
        <w:t>Obici</w:t>
      </w:r>
      <w:proofErr w:type="spellEnd"/>
      <w:r w:rsidRPr="0009459E">
        <w:rPr>
          <w:rFonts w:ascii="Calibri" w:hAnsi="Calibri" w:cs="Calibri"/>
        </w:rPr>
        <w:t xml:space="preserve"> L, et al. “Red-flag” symptom clusters in transthyretin familial amyloid polyneuropathy. </w:t>
      </w:r>
      <w:r w:rsidRPr="0009459E">
        <w:rPr>
          <w:rFonts w:ascii="Calibri" w:hAnsi="Calibri" w:cs="Calibri"/>
          <w:i/>
          <w:iCs/>
        </w:rPr>
        <w:t xml:space="preserve">J </w:t>
      </w:r>
      <w:proofErr w:type="spellStart"/>
      <w:r w:rsidRPr="0009459E">
        <w:rPr>
          <w:rFonts w:ascii="Calibri" w:hAnsi="Calibri" w:cs="Calibri"/>
          <w:i/>
          <w:iCs/>
        </w:rPr>
        <w:t>Peripher</w:t>
      </w:r>
      <w:proofErr w:type="spellEnd"/>
      <w:r w:rsidRPr="0009459E">
        <w:rPr>
          <w:rFonts w:ascii="Calibri" w:hAnsi="Calibri" w:cs="Calibri"/>
          <w:i/>
          <w:iCs/>
        </w:rPr>
        <w:t xml:space="preserve"> </w:t>
      </w:r>
      <w:proofErr w:type="spellStart"/>
      <w:r w:rsidRPr="0009459E">
        <w:rPr>
          <w:rFonts w:ascii="Calibri" w:hAnsi="Calibri" w:cs="Calibri"/>
          <w:i/>
          <w:iCs/>
        </w:rPr>
        <w:t>Nerv</w:t>
      </w:r>
      <w:proofErr w:type="spellEnd"/>
      <w:r w:rsidRPr="0009459E">
        <w:rPr>
          <w:rFonts w:ascii="Calibri" w:hAnsi="Calibri" w:cs="Calibri"/>
          <w:i/>
          <w:iCs/>
        </w:rPr>
        <w:t xml:space="preserve"> Syst</w:t>
      </w:r>
      <w:r w:rsidRPr="0009459E">
        <w:rPr>
          <w:rFonts w:ascii="Calibri" w:hAnsi="Calibri" w:cs="Calibri"/>
        </w:rPr>
        <w:t>. 2016;21(1):5-9. doi:10.1111/jns.12153</w:t>
      </w:r>
    </w:p>
    <w:p w14:paraId="1E24F45A" w14:textId="37DEA618" w:rsidR="00444303" w:rsidRPr="00444303" w:rsidRDefault="00444303" w:rsidP="00444303">
      <w:pPr>
        <w:pStyle w:val="Bibliography"/>
        <w:numPr>
          <w:ilvl w:val="0"/>
          <w:numId w:val="18"/>
        </w:numPr>
        <w:spacing w:line="240" w:lineRule="auto"/>
        <w:ind w:left="360"/>
        <w:rPr>
          <w:rFonts w:ascii="Calibri" w:hAnsi="Calibri" w:cs="Calibri"/>
        </w:rPr>
      </w:pPr>
      <w:r w:rsidRPr="00444303">
        <w:t xml:space="preserve">Swiecicki PL, Zhen DB, Mauermann ML, et al. Hereditary ATTR amyloidosis: a single-institution experience with 266 patients. </w:t>
      </w:r>
      <w:r w:rsidRPr="00ED2E49">
        <w:rPr>
          <w:i/>
          <w:iCs/>
        </w:rPr>
        <w:t>Amyloid</w:t>
      </w:r>
      <w:r w:rsidRPr="00444303">
        <w:t>. 2015;22(2):123-131. doi: 10.3109/13506129.2015.1019610</w:t>
      </w:r>
    </w:p>
    <w:p w14:paraId="1FE581E5" w14:textId="4F1D7885" w:rsidR="0009459E" w:rsidRPr="0009459E" w:rsidRDefault="0009459E" w:rsidP="00DB4A1D">
      <w:pPr>
        <w:pStyle w:val="Bibliography"/>
        <w:numPr>
          <w:ilvl w:val="0"/>
          <w:numId w:val="18"/>
        </w:numPr>
        <w:spacing w:line="240" w:lineRule="auto"/>
        <w:ind w:left="360"/>
        <w:rPr>
          <w:rFonts w:ascii="Calibri" w:hAnsi="Calibri" w:cs="Calibri"/>
        </w:rPr>
      </w:pPr>
      <w:r w:rsidRPr="0009459E">
        <w:rPr>
          <w:rFonts w:ascii="Calibri" w:hAnsi="Calibri" w:cs="Calibri"/>
        </w:rPr>
        <w:t xml:space="preserve">Adams D, Gonzalez-Duarte A, O’Riordan WD, et al. </w:t>
      </w:r>
      <w:r w:rsidR="00444303">
        <w:rPr>
          <w:rFonts w:ascii="Calibri" w:hAnsi="Calibri" w:cs="Calibri"/>
        </w:rPr>
        <w:t>Patisiran</w:t>
      </w:r>
      <w:r w:rsidRPr="0009459E">
        <w:rPr>
          <w:rFonts w:ascii="Calibri" w:hAnsi="Calibri" w:cs="Calibri"/>
        </w:rPr>
        <w:t xml:space="preserve">, an RNAi </w:t>
      </w:r>
      <w:r w:rsidR="000738B4" w:rsidRPr="000738B4">
        <w:rPr>
          <w:rFonts w:ascii="Calibri" w:hAnsi="Calibri" w:cs="Calibri"/>
        </w:rPr>
        <w:t>therapeutic, for hereditary transthyretin amyloidosis</w:t>
      </w:r>
      <w:r w:rsidRPr="0009459E">
        <w:rPr>
          <w:rFonts w:ascii="Calibri" w:hAnsi="Calibri" w:cs="Calibri"/>
        </w:rPr>
        <w:t xml:space="preserve">. </w:t>
      </w:r>
      <w:r w:rsidRPr="0009459E">
        <w:rPr>
          <w:rFonts w:ascii="Calibri" w:hAnsi="Calibri" w:cs="Calibri"/>
          <w:i/>
          <w:iCs/>
        </w:rPr>
        <w:t>N Engl J Med</w:t>
      </w:r>
      <w:r w:rsidRPr="0009459E">
        <w:rPr>
          <w:rFonts w:ascii="Calibri" w:hAnsi="Calibri" w:cs="Calibri"/>
        </w:rPr>
        <w:t>. 2018;379(1):11-21. doi:10.1056/NEJMoa1716153</w:t>
      </w:r>
    </w:p>
    <w:p w14:paraId="783B565A" w14:textId="79108F5A" w:rsidR="00B92CB2" w:rsidRPr="00B92CB2" w:rsidRDefault="00271283" w:rsidP="00B92CB2">
      <w:pPr>
        <w:pStyle w:val="Bibliography"/>
        <w:numPr>
          <w:ilvl w:val="0"/>
          <w:numId w:val="18"/>
        </w:numPr>
        <w:spacing w:line="240" w:lineRule="auto"/>
        <w:ind w:left="360"/>
        <w:rPr>
          <w:rFonts w:ascii="Calibri" w:hAnsi="Calibri" w:cs="Calibri"/>
        </w:rPr>
      </w:pPr>
      <w:proofErr w:type="spellStart"/>
      <w:r>
        <w:t>Wixner</w:t>
      </w:r>
      <w:proofErr w:type="spellEnd"/>
      <w:r>
        <w:t xml:space="preserve"> J, Ueda M, Marques W</w:t>
      </w:r>
      <w:r w:rsidR="00E57264">
        <w:t xml:space="preserve"> J</w:t>
      </w:r>
      <w:r w:rsidR="00446514">
        <w:t>r</w:t>
      </w:r>
      <w:r>
        <w:t>, et al. Patisiran Global Open-Label Extension Study at 36 Months: Effect of Long-Term Treatment on Mortality and Ambulatory Function in Patients with hATTR Amyloidosis with Polyneuropathy</w:t>
      </w:r>
      <w:r w:rsidR="008F7FEF">
        <w:t>.</w:t>
      </w:r>
      <w:r>
        <w:t xml:space="preserve"> XVIII International Symposium on Amyloidosis (ISA); September 4-8, 2022; Heidelberg, Germany.</w:t>
      </w:r>
    </w:p>
    <w:p w14:paraId="4C83CCAD" w14:textId="6F37AD1E" w:rsidR="000634A2" w:rsidRPr="000634A2" w:rsidRDefault="000634A2" w:rsidP="00B92CB2">
      <w:pPr>
        <w:pStyle w:val="Bibliography"/>
        <w:numPr>
          <w:ilvl w:val="0"/>
          <w:numId w:val="18"/>
        </w:numPr>
        <w:spacing w:line="240" w:lineRule="auto"/>
        <w:ind w:left="360"/>
        <w:rPr>
          <w:rFonts w:ascii="Calibri" w:hAnsi="Calibri" w:cs="Calibri"/>
        </w:rPr>
      </w:pPr>
      <w:r w:rsidRPr="000634A2">
        <w:rPr>
          <w:rFonts w:ascii="Calibri" w:hAnsi="Calibri" w:cs="Calibri"/>
        </w:rPr>
        <w:t xml:space="preserve">Schmidt HH, </w:t>
      </w:r>
      <w:proofErr w:type="spellStart"/>
      <w:r w:rsidRPr="000634A2">
        <w:rPr>
          <w:rFonts w:ascii="Calibri" w:hAnsi="Calibri" w:cs="Calibri"/>
        </w:rPr>
        <w:t>Wixner</w:t>
      </w:r>
      <w:proofErr w:type="spellEnd"/>
      <w:r w:rsidRPr="000634A2">
        <w:rPr>
          <w:rFonts w:ascii="Calibri" w:hAnsi="Calibri" w:cs="Calibri"/>
        </w:rPr>
        <w:t xml:space="preserve"> J, </w:t>
      </w:r>
      <w:proofErr w:type="spellStart"/>
      <w:r w:rsidRPr="000634A2">
        <w:rPr>
          <w:rFonts w:ascii="Calibri" w:hAnsi="Calibri" w:cs="Calibri"/>
        </w:rPr>
        <w:t>Planté-Bordeneuve</w:t>
      </w:r>
      <w:proofErr w:type="spellEnd"/>
      <w:r w:rsidRPr="000634A2">
        <w:rPr>
          <w:rFonts w:ascii="Calibri" w:hAnsi="Calibri" w:cs="Calibri"/>
        </w:rPr>
        <w:t xml:space="preserve"> V, et al. Patisiran treatment in patients with hereditary transthyretin-mediated amyloidosis with polyneuropathy after liver transplantation</w:t>
      </w:r>
      <w:r w:rsidRPr="000634A2">
        <w:rPr>
          <w:rFonts w:ascii="Calibri" w:hAnsi="Calibri" w:cs="Calibri"/>
          <w:i/>
          <w:iCs/>
        </w:rPr>
        <w:t>. Am J Transplant</w:t>
      </w:r>
      <w:r w:rsidRPr="000634A2">
        <w:rPr>
          <w:rFonts w:ascii="Calibri" w:hAnsi="Calibri" w:cs="Calibri"/>
        </w:rPr>
        <w:t>. 2022;22(6):1646-1657. doi: 10.1111/ajt.17009</w:t>
      </w:r>
    </w:p>
    <w:bookmarkEnd w:id="2"/>
    <w:p w14:paraId="5FEC4546" w14:textId="52F6B515" w:rsidR="009817C4" w:rsidRPr="00DB4A1D" w:rsidRDefault="009817C4" w:rsidP="00DB4A1D">
      <w:pPr>
        <w:spacing w:line="240" w:lineRule="auto"/>
        <w:rPr>
          <w:rFonts w:cstheme="minorHAnsi"/>
          <w:bCs/>
        </w:rPr>
      </w:pPr>
    </w:p>
    <w:sectPr w:rsidR="009817C4" w:rsidRPr="00DB4A1D" w:rsidSect="00FF3BB2">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6C22" w14:textId="77777777" w:rsidR="009E187B" w:rsidRDefault="009E187B" w:rsidP="00CE1193">
      <w:pPr>
        <w:spacing w:after="0" w:line="240" w:lineRule="auto"/>
      </w:pPr>
      <w:r>
        <w:separator/>
      </w:r>
    </w:p>
  </w:endnote>
  <w:endnote w:type="continuationSeparator" w:id="0">
    <w:p w14:paraId="539B5376" w14:textId="77777777" w:rsidR="009E187B" w:rsidRDefault="009E187B" w:rsidP="00CE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9AD4" w14:textId="7B0FDBB6" w:rsidR="00EF71BB" w:rsidRDefault="00F0535E">
    <w:pPr>
      <w:pStyle w:val="Footer"/>
    </w:pPr>
    <w:r w:rsidRPr="002F00DD">
      <w:rPr>
        <w:color w:val="7F7F7F" w:themeColor="text1" w:themeTint="80"/>
      </w:rPr>
      <w:t>[Physician Footer]</w:t>
    </w:r>
    <w:r w:rsidR="00EF71BB">
      <w:ptab w:relativeTo="margin" w:alignment="center" w:leader="none"/>
    </w:r>
    <w:r w:rsidR="00EF71B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57AC" w14:textId="77777777" w:rsidR="009E187B" w:rsidRDefault="009E187B" w:rsidP="00CE1193">
      <w:pPr>
        <w:spacing w:after="0" w:line="240" w:lineRule="auto"/>
      </w:pPr>
      <w:r>
        <w:separator/>
      </w:r>
    </w:p>
  </w:footnote>
  <w:footnote w:type="continuationSeparator" w:id="0">
    <w:p w14:paraId="370953A7" w14:textId="77777777" w:rsidR="009E187B" w:rsidRDefault="009E187B" w:rsidP="00CE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02CB" w14:textId="7AEEC5A2" w:rsidR="00FF3BB2" w:rsidRPr="00FF3BB2" w:rsidRDefault="00FF3BB2" w:rsidP="00FF3BB2">
    <w:pPr>
      <w:pStyle w:val="Header"/>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672"/>
    <w:multiLevelType w:val="hybridMultilevel"/>
    <w:tmpl w:val="3BB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A0F0A"/>
    <w:multiLevelType w:val="hybridMultilevel"/>
    <w:tmpl w:val="7EC83AF4"/>
    <w:lvl w:ilvl="0" w:tplc="F9468742">
      <w:start w:val="1"/>
      <w:numFmt w:val="bullet"/>
      <w:pStyle w:val="Text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color w:val="808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A00D5"/>
    <w:multiLevelType w:val="hybridMultilevel"/>
    <w:tmpl w:val="4EE05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6079A"/>
    <w:multiLevelType w:val="multilevel"/>
    <w:tmpl w:val="442CD1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415526"/>
    <w:multiLevelType w:val="hybridMultilevel"/>
    <w:tmpl w:val="93E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92BE9"/>
    <w:multiLevelType w:val="hybridMultilevel"/>
    <w:tmpl w:val="AC50F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F90591"/>
    <w:multiLevelType w:val="hybridMultilevel"/>
    <w:tmpl w:val="5ADE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204F5"/>
    <w:multiLevelType w:val="hybridMultilevel"/>
    <w:tmpl w:val="93B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16016"/>
    <w:multiLevelType w:val="hybridMultilevel"/>
    <w:tmpl w:val="F1281FA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B92D93"/>
    <w:multiLevelType w:val="hybridMultilevel"/>
    <w:tmpl w:val="0694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F04C50"/>
    <w:multiLevelType w:val="hybridMultilevel"/>
    <w:tmpl w:val="C0FAC00C"/>
    <w:lvl w:ilvl="0" w:tplc="FFFCEA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AF0C7A"/>
    <w:multiLevelType w:val="hybridMultilevel"/>
    <w:tmpl w:val="CC2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A39E0"/>
    <w:multiLevelType w:val="hybridMultilevel"/>
    <w:tmpl w:val="F8AC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53C59"/>
    <w:multiLevelType w:val="hybridMultilevel"/>
    <w:tmpl w:val="A4D4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B3975"/>
    <w:multiLevelType w:val="hybridMultilevel"/>
    <w:tmpl w:val="3FB42B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952510">
    <w:abstractNumId w:val="4"/>
  </w:num>
  <w:num w:numId="2" w16cid:durableId="1908227643">
    <w:abstractNumId w:val="12"/>
  </w:num>
  <w:num w:numId="3" w16cid:durableId="18088145">
    <w:abstractNumId w:val="6"/>
  </w:num>
  <w:num w:numId="4" w16cid:durableId="1374114635">
    <w:abstractNumId w:val="3"/>
  </w:num>
  <w:num w:numId="5" w16cid:durableId="1191796770">
    <w:abstractNumId w:val="3"/>
  </w:num>
  <w:num w:numId="6" w16cid:durableId="1547179891">
    <w:abstractNumId w:val="5"/>
  </w:num>
  <w:num w:numId="7" w16cid:durableId="1267545960">
    <w:abstractNumId w:val="9"/>
  </w:num>
  <w:num w:numId="8" w16cid:durableId="847713989">
    <w:abstractNumId w:val="7"/>
  </w:num>
  <w:num w:numId="9" w16cid:durableId="1477989403">
    <w:abstractNumId w:val="1"/>
  </w:num>
  <w:num w:numId="10" w16cid:durableId="119492809">
    <w:abstractNumId w:val="13"/>
  </w:num>
  <w:num w:numId="11" w16cid:durableId="882640934">
    <w:abstractNumId w:val="11"/>
  </w:num>
  <w:num w:numId="12" w16cid:durableId="333336410">
    <w:abstractNumId w:val="15"/>
  </w:num>
  <w:num w:numId="13" w16cid:durableId="657080492">
    <w:abstractNumId w:val="0"/>
  </w:num>
  <w:num w:numId="14" w16cid:durableId="882210823">
    <w:abstractNumId w:val="14"/>
  </w:num>
  <w:num w:numId="15" w16cid:durableId="1017347533">
    <w:abstractNumId w:val="16"/>
  </w:num>
  <w:num w:numId="16" w16cid:durableId="1702508012">
    <w:abstractNumId w:val="10"/>
  </w:num>
  <w:num w:numId="17" w16cid:durableId="1037975116">
    <w:abstractNumId w:val="2"/>
  </w:num>
  <w:num w:numId="18" w16cid:durableId="17893508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60"/>
    <w:rsid w:val="000042DC"/>
    <w:rsid w:val="00005AE1"/>
    <w:rsid w:val="00006888"/>
    <w:rsid w:val="00020653"/>
    <w:rsid w:val="000221BF"/>
    <w:rsid w:val="0003115A"/>
    <w:rsid w:val="00033B33"/>
    <w:rsid w:val="000455D9"/>
    <w:rsid w:val="00050125"/>
    <w:rsid w:val="0005022D"/>
    <w:rsid w:val="00051B2A"/>
    <w:rsid w:val="000525BC"/>
    <w:rsid w:val="00052D0E"/>
    <w:rsid w:val="0006002B"/>
    <w:rsid w:val="00061627"/>
    <w:rsid w:val="000634A2"/>
    <w:rsid w:val="000638F7"/>
    <w:rsid w:val="00063F88"/>
    <w:rsid w:val="00070830"/>
    <w:rsid w:val="000738B4"/>
    <w:rsid w:val="000755D1"/>
    <w:rsid w:val="0007664B"/>
    <w:rsid w:val="00077AD5"/>
    <w:rsid w:val="0008250D"/>
    <w:rsid w:val="00084EE6"/>
    <w:rsid w:val="000851CD"/>
    <w:rsid w:val="0008725A"/>
    <w:rsid w:val="00087C48"/>
    <w:rsid w:val="00090548"/>
    <w:rsid w:val="0009459E"/>
    <w:rsid w:val="000A2076"/>
    <w:rsid w:val="000B54BD"/>
    <w:rsid w:val="000C5D5B"/>
    <w:rsid w:val="000C7160"/>
    <w:rsid w:val="000C7B1C"/>
    <w:rsid w:val="000D16C9"/>
    <w:rsid w:val="000D4288"/>
    <w:rsid w:val="000D4E84"/>
    <w:rsid w:val="000D5139"/>
    <w:rsid w:val="000D5201"/>
    <w:rsid w:val="000D6446"/>
    <w:rsid w:val="000E26D3"/>
    <w:rsid w:val="000E481D"/>
    <w:rsid w:val="000E543C"/>
    <w:rsid w:val="000E560F"/>
    <w:rsid w:val="000E650A"/>
    <w:rsid w:val="000F1801"/>
    <w:rsid w:val="001000DA"/>
    <w:rsid w:val="00104E49"/>
    <w:rsid w:val="001059F5"/>
    <w:rsid w:val="0011086C"/>
    <w:rsid w:val="0011230B"/>
    <w:rsid w:val="00132E11"/>
    <w:rsid w:val="00133463"/>
    <w:rsid w:val="001407EC"/>
    <w:rsid w:val="001411F6"/>
    <w:rsid w:val="001507ED"/>
    <w:rsid w:val="00150C36"/>
    <w:rsid w:val="00156188"/>
    <w:rsid w:val="00157DA4"/>
    <w:rsid w:val="00181FA8"/>
    <w:rsid w:val="001935C9"/>
    <w:rsid w:val="00197214"/>
    <w:rsid w:val="001A0013"/>
    <w:rsid w:val="001A4BB2"/>
    <w:rsid w:val="001A5D3F"/>
    <w:rsid w:val="001C6156"/>
    <w:rsid w:val="001D159A"/>
    <w:rsid w:val="001D7687"/>
    <w:rsid w:val="001E21BB"/>
    <w:rsid w:val="001F238C"/>
    <w:rsid w:val="001F3948"/>
    <w:rsid w:val="001F5CC8"/>
    <w:rsid w:val="00205E85"/>
    <w:rsid w:val="002172ED"/>
    <w:rsid w:val="00217BB1"/>
    <w:rsid w:val="00222FFA"/>
    <w:rsid w:val="00224EDD"/>
    <w:rsid w:val="00226E8C"/>
    <w:rsid w:val="00233208"/>
    <w:rsid w:val="00233E86"/>
    <w:rsid w:val="002427F3"/>
    <w:rsid w:val="00246AC7"/>
    <w:rsid w:val="00247C49"/>
    <w:rsid w:val="002612D1"/>
    <w:rsid w:val="00264194"/>
    <w:rsid w:val="00271283"/>
    <w:rsid w:val="00280EF6"/>
    <w:rsid w:val="002832B9"/>
    <w:rsid w:val="00286648"/>
    <w:rsid w:val="0029544D"/>
    <w:rsid w:val="002A1A1F"/>
    <w:rsid w:val="002A6A49"/>
    <w:rsid w:val="002B0B60"/>
    <w:rsid w:val="002B62C2"/>
    <w:rsid w:val="002C121D"/>
    <w:rsid w:val="002C2AD6"/>
    <w:rsid w:val="002C31F0"/>
    <w:rsid w:val="002C4D19"/>
    <w:rsid w:val="002C60EF"/>
    <w:rsid w:val="002C7514"/>
    <w:rsid w:val="002C7B5A"/>
    <w:rsid w:val="002E4B11"/>
    <w:rsid w:val="002E5391"/>
    <w:rsid w:val="002E61F2"/>
    <w:rsid w:val="002F00DD"/>
    <w:rsid w:val="002F05CA"/>
    <w:rsid w:val="00300D41"/>
    <w:rsid w:val="00301CEA"/>
    <w:rsid w:val="003043A7"/>
    <w:rsid w:val="00305004"/>
    <w:rsid w:val="00310CAC"/>
    <w:rsid w:val="00311938"/>
    <w:rsid w:val="00316F1D"/>
    <w:rsid w:val="00317B8D"/>
    <w:rsid w:val="00321E19"/>
    <w:rsid w:val="00336439"/>
    <w:rsid w:val="003412E6"/>
    <w:rsid w:val="00341612"/>
    <w:rsid w:val="003427EC"/>
    <w:rsid w:val="00342BB5"/>
    <w:rsid w:val="00347979"/>
    <w:rsid w:val="00352439"/>
    <w:rsid w:val="00353924"/>
    <w:rsid w:val="00353D27"/>
    <w:rsid w:val="00355AD6"/>
    <w:rsid w:val="00360026"/>
    <w:rsid w:val="003655E8"/>
    <w:rsid w:val="00370143"/>
    <w:rsid w:val="00377C6C"/>
    <w:rsid w:val="00380966"/>
    <w:rsid w:val="00390DF0"/>
    <w:rsid w:val="0039463F"/>
    <w:rsid w:val="003A0926"/>
    <w:rsid w:val="003A27B5"/>
    <w:rsid w:val="003A3412"/>
    <w:rsid w:val="003B35F4"/>
    <w:rsid w:val="003B455E"/>
    <w:rsid w:val="003B5D87"/>
    <w:rsid w:val="003C4BED"/>
    <w:rsid w:val="003C7F31"/>
    <w:rsid w:val="003D1199"/>
    <w:rsid w:val="003D5A93"/>
    <w:rsid w:val="003E3E41"/>
    <w:rsid w:val="00411B66"/>
    <w:rsid w:val="0041489E"/>
    <w:rsid w:val="00423C67"/>
    <w:rsid w:val="00424349"/>
    <w:rsid w:val="00430D18"/>
    <w:rsid w:val="00431664"/>
    <w:rsid w:val="00431828"/>
    <w:rsid w:val="0043509D"/>
    <w:rsid w:val="004351A4"/>
    <w:rsid w:val="00440953"/>
    <w:rsid w:val="00440A82"/>
    <w:rsid w:val="004429BE"/>
    <w:rsid w:val="00443A69"/>
    <w:rsid w:val="00444303"/>
    <w:rsid w:val="00445871"/>
    <w:rsid w:val="00446514"/>
    <w:rsid w:val="00466E8A"/>
    <w:rsid w:val="004706E3"/>
    <w:rsid w:val="00471F2D"/>
    <w:rsid w:val="00472D4F"/>
    <w:rsid w:val="0048113A"/>
    <w:rsid w:val="00484DA4"/>
    <w:rsid w:val="004930EF"/>
    <w:rsid w:val="0049386A"/>
    <w:rsid w:val="0049487C"/>
    <w:rsid w:val="0049602B"/>
    <w:rsid w:val="004A22AF"/>
    <w:rsid w:val="004A5D47"/>
    <w:rsid w:val="004B5891"/>
    <w:rsid w:val="004B6BB0"/>
    <w:rsid w:val="004C0DBF"/>
    <w:rsid w:val="004C40B5"/>
    <w:rsid w:val="004C6527"/>
    <w:rsid w:val="004C6B56"/>
    <w:rsid w:val="004C7734"/>
    <w:rsid w:val="004D4216"/>
    <w:rsid w:val="004E2DBC"/>
    <w:rsid w:val="004E666C"/>
    <w:rsid w:val="004F2110"/>
    <w:rsid w:val="004F759C"/>
    <w:rsid w:val="005033FC"/>
    <w:rsid w:val="0050661B"/>
    <w:rsid w:val="00506DC2"/>
    <w:rsid w:val="00531723"/>
    <w:rsid w:val="00543303"/>
    <w:rsid w:val="00551283"/>
    <w:rsid w:val="00552A8B"/>
    <w:rsid w:val="005544DA"/>
    <w:rsid w:val="00556F45"/>
    <w:rsid w:val="00560775"/>
    <w:rsid w:val="00560B9C"/>
    <w:rsid w:val="00572F22"/>
    <w:rsid w:val="00592161"/>
    <w:rsid w:val="00595DA8"/>
    <w:rsid w:val="005A0C68"/>
    <w:rsid w:val="005A4586"/>
    <w:rsid w:val="005A78F2"/>
    <w:rsid w:val="005B183B"/>
    <w:rsid w:val="005B701E"/>
    <w:rsid w:val="00602460"/>
    <w:rsid w:val="006141A8"/>
    <w:rsid w:val="00616DCA"/>
    <w:rsid w:val="00620434"/>
    <w:rsid w:val="00620A48"/>
    <w:rsid w:val="0062606D"/>
    <w:rsid w:val="006269B8"/>
    <w:rsid w:val="0063708E"/>
    <w:rsid w:val="0064633A"/>
    <w:rsid w:val="006517F2"/>
    <w:rsid w:val="0065307B"/>
    <w:rsid w:val="006537D1"/>
    <w:rsid w:val="00656331"/>
    <w:rsid w:val="0066501D"/>
    <w:rsid w:val="006670EA"/>
    <w:rsid w:val="00667E94"/>
    <w:rsid w:val="00674235"/>
    <w:rsid w:val="00675126"/>
    <w:rsid w:val="00681FEA"/>
    <w:rsid w:val="00685503"/>
    <w:rsid w:val="006A1F7B"/>
    <w:rsid w:val="006A276C"/>
    <w:rsid w:val="006A590A"/>
    <w:rsid w:val="006B3460"/>
    <w:rsid w:val="006B3D81"/>
    <w:rsid w:val="006C0284"/>
    <w:rsid w:val="006C6B58"/>
    <w:rsid w:val="006E1C3D"/>
    <w:rsid w:val="006E4E44"/>
    <w:rsid w:val="006F0789"/>
    <w:rsid w:val="00702908"/>
    <w:rsid w:val="00706A42"/>
    <w:rsid w:val="00717243"/>
    <w:rsid w:val="00722C7F"/>
    <w:rsid w:val="00736BD7"/>
    <w:rsid w:val="0074252E"/>
    <w:rsid w:val="0074551C"/>
    <w:rsid w:val="00746448"/>
    <w:rsid w:val="007466A6"/>
    <w:rsid w:val="00754D86"/>
    <w:rsid w:val="00757354"/>
    <w:rsid w:val="00772E85"/>
    <w:rsid w:val="00783F4D"/>
    <w:rsid w:val="007A0E34"/>
    <w:rsid w:val="007A22A1"/>
    <w:rsid w:val="007B688E"/>
    <w:rsid w:val="007C4A76"/>
    <w:rsid w:val="007C5CCB"/>
    <w:rsid w:val="007D3DCA"/>
    <w:rsid w:val="007D758B"/>
    <w:rsid w:val="007D7AAE"/>
    <w:rsid w:val="007E23BD"/>
    <w:rsid w:val="007E3DBE"/>
    <w:rsid w:val="007E434A"/>
    <w:rsid w:val="007F1684"/>
    <w:rsid w:val="0080093F"/>
    <w:rsid w:val="00800F2C"/>
    <w:rsid w:val="0080708C"/>
    <w:rsid w:val="00814BA1"/>
    <w:rsid w:val="0083730C"/>
    <w:rsid w:val="00861C06"/>
    <w:rsid w:val="008764DB"/>
    <w:rsid w:val="008773F8"/>
    <w:rsid w:val="0088562A"/>
    <w:rsid w:val="008935A1"/>
    <w:rsid w:val="008949EE"/>
    <w:rsid w:val="00896C5E"/>
    <w:rsid w:val="008A000F"/>
    <w:rsid w:val="008B0CB9"/>
    <w:rsid w:val="008B7572"/>
    <w:rsid w:val="008B7B47"/>
    <w:rsid w:val="008C418A"/>
    <w:rsid w:val="008D464C"/>
    <w:rsid w:val="008D63A6"/>
    <w:rsid w:val="008E1E34"/>
    <w:rsid w:val="008F1B29"/>
    <w:rsid w:val="008F1F76"/>
    <w:rsid w:val="008F7FEF"/>
    <w:rsid w:val="00906BB4"/>
    <w:rsid w:val="009150EB"/>
    <w:rsid w:val="00915B23"/>
    <w:rsid w:val="00917F59"/>
    <w:rsid w:val="00921B75"/>
    <w:rsid w:val="009220C3"/>
    <w:rsid w:val="00924FDA"/>
    <w:rsid w:val="0092563B"/>
    <w:rsid w:val="009314BE"/>
    <w:rsid w:val="009316F2"/>
    <w:rsid w:val="00945C02"/>
    <w:rsid w:val="009547D1"/>
    <w:rsid w:val="00966DE8"/>
    <w:rsid w:val="00972AC0"/>
    <w:rsid w:val="009747C6"/>
    <w:rsid w:val="00975BE0"/>
    <w:rsid w:val="00976F0E"/>
    <w:rsid w:val="009817C4"/>
    <w:rsid w:val="0098290F"/>
    <w:rsid w:val="0099577D"/>
    <w:rsid w:val="009961A6"/>
    <w:rsid w:val="00996F34"/>
    <w:rsid w:val="00997776"/>
    <w:rsid w:val="009A16A2"/>
    <w:rsid w:val="009A484C"/>
    <w:rsid w:val="009A5232"/>
    <w:rsid w:val="009A7A02"/>
    <w:rsid w:val="009B0C53"/>
    <w:rsid w:val="009B2BAE"/>
    <w:rsid w:val="009B477D"/>
    <w:rsid w:val="009B73CB"/>
    <w:rsid w:val="009C1C62"/>
    <w:rsid w:val="009D20E6"/>
    <w:rsid w:val="009D21C0"/>
    <w:rsid w:val="009D278B"/>
    <w:rsid w:val="009E187B"/>
    <w:rsid w:val="009E1DC9"/>
    <w:rsid w:val="00A11E2F"/>
    <w:rsid w:val="00A22C0F"/>
    <w:rsid w:val="00A231BA"/>
    <w:rsid w:val="00A23FB2"/>
    <w:rsid w:val="00A272FB"/>
    <w:rsid w:val="00A33FD9"/>
    <w:rsid w:val="00A36B81"/>
    <w:rsid w:val="00A463BD"/>
    <w:rsid w:val="00A652C7"/>
    <w:rsid w:val="00A66D73"/>
    <w:rsid w:val="00A702E9"/>
    <w:rsid w:val="00A75BDD"/>
    <w:rsid w:val="00A81B6D"/>
    <w:rsid w:val="00AA7BA7"/>
    <w:rsid w:val="00AB1D96"/>
    <w:rsid w:val="00AB5EE4"/>
    <w:rsid w:val="00AB6142"/>
    <w:rsid w:val="00AC1AC3"/>
    <w:rsid w:val="00AC468E"/>
    <w:rsid w:val="00AC51AE"/>
    <w:rsid w:val="00AD1BA0"/>
    <w:rsid w:val="00AD246C"/>
    <w:rsid w:val="00AD61D2"/>
    <w:rsid w:val="00AE2DB8"/>
    <w:rsid w:val="00AF0244"/>
    <w:rsid w:val="00AF2DC1"/>
    <w:rsid w:val="00B24649"/>
    <w:rsid w:val="00B27909"/>
    <w:rsid w:val="00B3353C"/>
    <w:rsid w:val="00B40035"/>
    <w:rsid w:val="00B42607"/>
    <w:rsid w:val="00B526E2"/>
    <w:rsid w:val="00B52A6A"/>
    <w:rsid w:val="00B72C6D"/>
    <w:rsid w:val="00B75656"/>
    <w:rsid w:val="00B81F6B"/>
    <w:rsid w:val="00B821DD"/>
    <w:rsid w:val="00B86FA2"/>
    <w:rsid w:val="00B92CB2"/>
    <w:rsid w:val="00BA016C"/>
    <w:rsid w:val="00BA1878"/>
    <w:rsid w:val="00BB1930"/>
    <w:rsid w:val="00BB336D"/>
    <w:rsid w:val="00BB7DA7"/>
    <w:rsid w:val="00BC4A16"/>
    <w:rsid w:val="00BC7237"/>
    <w:rsid w:val="00BC7742"/>
    <w:rsid w:val="00BD0159"/>
    <w:rsid w:val="00BD0D93"/>
    <w:rsid w:val="00BD0F34"/>
    <w:rsid w:val="00BD29C1"/>
    <w:rsid w:val="00BD500D"/>
    <w:rsid w:val="00BE6B62"/>
    <w:rsid w:val="00BE74B9"/>
    <w:rsid w:val="00BF0966"/>
    <w:rsid w:val="00BF27E6"/>
    <w:rsid w:val="00C00533"/>
    <w:rsid w:val="00C023B7"/>
    <w:rsid w:val="00C0769E"/>
    <w:rsid w:val="00C22106"/>
    <w:rsid w:val="00C42280"/>
    <w:rsid w:val="00C570CF"/>
    <w:rsid w:val="00C57E76"/>
    <w:rsid w:val="00C60356"/>
    <w:rsid w:val="00C6067C"/>
    <w:rsid w:val="00C72347"/>
    <w:rsid w:val="00C72645"/>
    <w:rsid w:val="00C73FF4"/>
    <w:rsid w:val="00C761AB"/>
    <w:rsid w:val="00C91AD9"/>
    <w:rsid w:val="00C928BE"/>
    <w:rsid w:val="00CB281D"/>
    <w:rsid w:val="00CC0037"/>
    <w:rsid w:val="00CC2525"/>
    <w:rsid w:val="00CC5EEB"/>
    <w:rsid w:val="00CC769B"/>
    <w:rsid w:val="00CD0BB8"/>
    <w:rsid w:val="00CD40DE"/>
    <w:rsid w:val="00CE1193"/>
    <w:rsid w:val="00CE4E95"/>
    <w:rsid w:val="00CF1604"/>
    <w:rsid w:val="00CF39F4"/>
    <w:rsid w:val="00D008C7"/>
    <w:rsid w:val="00D01AB2"/>
    <w:rsid w:val="00D03676"/>
    <w:rsid w:val="00D068CC"/>
    <w:rsid w:val="00D10BB8"/>
    <w:rsid w:val="00D24ACE"/>
    <w:rsid w:val="00D27658"/>
    <w:rsid w:val="00D34449"/>
    <w:rsid w:val="00D400E8"/>
    <w:rsid w:val="00D440B7"/>
    <w:rsid w:val="00D44F39"/>
    <w:rsid w:val="00D45DE2"/>
    <w:rsid w:val="00D528C0"/>
    <w:rsid w:val="00D561F0"/>
    <w:rsid w:val="00D60296"/>
    <w:rsid w:val="00D60BF2"/>
    <w:rsid w:val="00D649D2"/>
    <w:rsid w:val="00D65B91"/>
    <w:rsid w:val="00D90707"/>
    <w:rsid w:val="00DA0AB9"/>
    <w:rsid w:val="00DA47F0"/>
    <w:rsid w:val="00DA48FA"/>
    <w:rsid w:val="00DB16E6"/>
    <w:rsid w:val="00DB4A1D"/>
    <w:rsid w:val="00DB7DE3"/>
    <w:rsid w:val="00DC484D"/>
    <w:rsid w:val="00DD3D08"/>
    <w:rsid w:val="00DD44CB"/>
    <w:rsid w:val="00DD490F"/>
    <w:rsid w:val="00DD689F"/>
    <w:rsid w:val="00DD7BE3"/>
    <w:rsid w:val="00DE1272"/>
    <w:rsid w:val="00DE26AA"/>
    <w:rsid w:val="00DE6279"/>
    <w:rsid w:val="00DF1A41"/>
    <w:rsid w:val="00DF54C5"/>
    <w:rsid w:val="00E05A1B"/>
    <w:rsid w:val="00E130B8"/>
    <w:rsid w:val="00E13A69"/>
    <w:rsid w:val="00E2048F"/>
    <w:rsid w:val="00E33F15"/>
    <w:rsid w:val="00E3618B"/>
    <w:rsid w:val="00E37A18"/>
    <w:rsid w:val="00E45BF2"/>
    <w:rsid w:val="00E45CF6"/>
    <w:rsid w:val="00E50FC4"/>
    <w:rsid w:val="00E552B2"/>
    <w:rsid w:val="00E57264"/>
    <w:rsid w:val="00E63268"/>
    <w:rsid w:val="00E80ECD"/>
    <w:rsid w:val="00E83299"/>
    <w:rsid w:val="00E957DC"/>
    <w:rsid w:val="00EA0FE7"/>
    <w:rsid w:val="00EA2E3E"/>
    <w:rsid w:val="00EA49E1"/>
    <w:rsid w:val="00EB4F37"/>
    <w:rsid w:val="00EB4FB4"/>
    <w:rsid w:val="00EC4ED0"/>
    <w:rsid w:val="00EC534A"/>
    <w:rsid w:val="00EC618B"/>
    <w:rsid w:val="00ED0075"/>
    <w:rsid w:val="00ED0C9A"/>
    <w:rsid w:val="00ED2E49"/>
    <w:rsid w:val="00ED6FDE"/>
    <w:rsid w:val="00EE51F2"/>
    <w:rsid w:val="00EF2EA2"/>
    <w:rsid w:val="00EF71BB"/>
    <w:rsid w:val="00F03CEF"/>
    <w:rsid w:val="00F0535E"/>
    <w:rsid w:val="00F15100"/>
    <w:rsid w:val="00F33DE7"/>
    <w:rsid w:val="00F34D69"/>
    <w:rsid w:val="00F41CAA"/>
    <w:rsid w:val="00F42FDD"/>
    <w:rsid w:val="00F50586"/>
    <w:rsid w:val="00F577B2"/>
    <w:rsid w:val="00F6053F"/>
    <w:rsid w:val="00F670EF"/>
    <w:rsid w:val="00F6716F"/>
    <w:rsid w:val="00F750CD"/>
    <w:rsid w:val="00F75F68"/>
    <w:rsid w:val="00F766F1"/>
    <w:rsid w:val="00F776AE"/>
    <w:rsid w:val="00F93915"/>
    <w:rsid w:val="00F94D1D"/>
    <w:rsid w:val="00FA0626"/>
    <w:rsid w:val="00FB36D4"/>
    <w:rsid w:val="00FB4F8D"/>
    <w:rsid w:val="00FB51E2"/>
    <w:rsid w:val="00FB6A02"/>
    <w:rsid w:val="00FC077F"/>
    <w:rsid w:val="00FC22AC"/>
    <w:rsid w:val="00FC7E0C"/>
    <w:rsid w:val="00FD0024"/>
    <w:rsid w:val="00FD652F"/>
    <w:rsid w:val="00FE7554"/>
    <w:rsid w:val="00FE7D62"/>
    <w:rsid w:val="00FF1E0B"/>
    <w:rsid w:val="00FF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C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0E"/>
  </w:style>
  <w:style w:type="paragraph" w:styleId="Heading1">
    <w:name w:val="heading 1"/>
    <w:basedOn w:val="Normal"/>
    <w:next w:val="Normal"/>
    <w:link w:val="Heading1Char"/>
    <w:autoRedefine/>
    <w:qFormat/>
    <w:rsid w:val="002B0B60"/>
    <w:pPr>
      <w:keepNext/>
      <w:numPr>
        <w:numId w:val="6"/>
      </w:numPr>
      <w:tabs>
        <w:tab w:val="clear" w:pos="432"/>
        <w:tab w:val="left" w:pos="1134"/>
      </w:tabs>
      <w:spacing w:after="0" w:line="240" w:lineRule="auto"/>
      <w:ind w:left="1138" w:hanging="1138"/>
      <w:outlineLvl w:val="0"/>
    </w:pPr>
    <w:rPr>
      <w:rFonts w:ascii="Trebuchet MS" w:eastAsia="Times New Roman" w:hAnsi="Trebuchet MS" w:cs="Arial"/>
      <w:b/>
      <w:caps/>
      <w:color w:val="0096DB"/>
      <w:sz w:val="28"/>
      <w:szCs w:val="28"/>
    </w:rPr>
  </w:style>
  <w:style w:type="paragraph" w:styleId="Heading2">
    <w:name w:val="heading 2"/>
    <w:basedOn w:val="Normal"/>
    <w:next w:val="Normal"/>
    <w:link w:val="Heading2Char"/>
    <w:autoRedefine/>
    <w:qFormat/>
    <w:rsid w:val="002B0B60"/>
    <w:pPr>
      <w:keepNext/>
      <w:numPr>
        <w:ilvl w:val="1"/>
        <w:numId w:val="6"/>
      </w:numPr>
      <w:spacing w:after="0" w:line="240" w:lineRule="auto"/>
      <w:outlineLvl w:val="1"/>
    </w:pPr>
    <w:rPr>
      <w:rFonts w:ascii="Trebuchet MS" w:eastAsia="Times New Roman" w:hAnsi="Trebuchet MS" w:cs="Arial"/>
      <w:b/>
      <w:color w:val="0096DB"/>
      <w:sz w:val="28"/>
      <w:szCs w:val="28"/>
    </w:rPr>
  </w:style>
  <w:style w:type="paragraph" w:styleId="Heading3">
    <w:name w:val="heading 3"/>
    <w:basedOn w:val="Normal"/>
    <w:next w:val="Normal"/>
    <w:link w:val="Heading3Char"/>
    <w:autoRedefine/>
    <w:qFormat/>
    <w:rsid w:val="002B0B60"/>
    <w:pPr>
      <w:keepNext/>
      <w:numPr>
        <w:ilvl w:val="2"/>
        <w:numId w:val="6"/>
      </w:numPr>
      <w:tabs>
        <w:tab w:val="clear" w:pos="720"/>
        <w:tab w:val="left" w:pos="1134"/>
      </w:tabs>
      <w:spacing w:after="0" w:line="240" w:lineRule="auto"/>
      <w:ind w:left="1138" w:hanging="1138"/>
      <w:outlineLvl w:val="2"/>
    </w:pPr>
    <w:rPr>
      <w:rFonts w:ascii="Trebuchet MS" w:eastAsia="Times New Roman" w:hAnsi="Trebuchet MS" w:cs="Times New Roman"/>
      <w:b/>
    </w:rPr>
  </w:style>
  <w:style w:type="paragraph" w:styleId="Heading4">
    <w:name w:val="heading 4"/>
    <w:basedOn w:val="Normal"/>
    <w:next w:val="Normal"/>
    <w:link w:val="Heading4Char"/>
    <w:autoRedefine/>
    <w:qFormat/>
    <w:rsid w:val="002B0B60"/>
    <w:pPr>
      <w:keepNext/>
      <w:widowControl w:val="0"/>
      <w:numPr>
        <w:ilvl w:val="3"/>
        <w:numId w:val="6"/>
      </w:numPr>
      <w:tabs>
        <w:tab w:val="clear" w:pos="864"/>
        <w:tab w:val="left" w:pos="1134"/>
      </w:tabs>
      <w:spacing w:after="0" w:line="240" w:lineRule="auto"/>
      <w:ind w:left="1138" w:hanging="1138"/>
      <w:outlineLvl w:val="3"/>
    </w:pPr>
    <w:rPr>
      <w:rFonts w:ascii="Trebuchet MS" w:eastAsia="Times New Roman" w:hAnsi="Trebuchet MS" w:cs="Times New Roman"/>
      <w:b/>
      <w:bCs/>
      <w:i/>
      <w:szCs w:val="28"/>
      <w:lang w:eastAsia="en-GB"/>
    </w:rPr>
  </w:style>
  <w:style w:type="paragraph" w:styleId="Heading6">
    <w:name w:val="heading 6"/>
    <w:basedOn w:val="Normal"/>
    <w:next w:val="Normal"/>
    <w:link w:val="Heading6Char"/>
    <w:rsid w:val="002B0B60"/>
    <w:pPr>
      <w:widowControl w:val="0"/>
      <w:numPr>
        <w:ilvl w:val="5"/>
        <w:numId w:val="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rsid w:val="002B0B60"/>
    <w:pPr>
      <w:widowControl w:val="0"/>
      <w:numPr>
        <w:ilvl w:val="6"/>
        <w:numId w:val="6"/>
      </w:numPr>
      <w:spacing w:before="240" w:after="60" w:line="240" w:lineRule="auto"/>
      <w:outlineLvl w:val="6"/>
    </w:pPr>
    <w:rPr>
      <w:rFonts w:ascii="Times New Roman" w:eastAsia="Times New Roman" w:hAnsi="Times New Roman" w:cs="Times New Roman"/>
      <w:sz w:val="24"/>
      <w:lang w:eastAsia="en-GB"/>
    </w:rPr>
  </w:style>
  <w:style w:type="paragraph" w:styleId="Heading8">
    <w:name w:val="heading 8"/>
    <w:basedOn w:val="Normal"/>
    <w:next w:val="Normal"/>
    <w:link w:val="Heading8Char"/>
    <w:rsid w:val="002B0B60"/>
    <w:pPr>
      <w:widowControl w:val="0"/>
      <w:numPr>
        <w:ilvl w:val="7"/>
        <w:numId w:val="6"/>
      </w:numPr>
      <w:spacing w:before="240" w:after="60" w:line="240" w:lineRule="auto"/>
      <w:outlineLvl w:val="7"/>
    </w:pPr>
    <w:rPr>
      <w:rFonts w:ascii="Times New Roman" w:eastAsia="Times New Roman" w:hAnsi="Times New Roman" w:cs="Times New Roman"/>
      <w:i/>
      <w:iCs/>
      <w:sz w:val="24"/>
      <w:lang w:eastAsia="en-GB"/>
    </w:rPr>
  </w:style>
  <w:style w:type="paragraph" w:styleId="Heading9">
    <w:name w:val="heading 9"/>
    <w:basedOn w:val="Normal"/>
    <w:next w:val="Normal"/>
    <w:link w:val="Heading9Char"/>
    <w:rsid w:val="002B0B60"/>
    <w:pPr>
      <w:widowControl w:val="0"/>
      <w:numPr>
        <w:ilvl w:val="8"/>
        <w:numId w:val="6"/>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1C62"/>
    <w:pPr>
      <w:ind w:left="720"/>
      <w:contextualSpacing/>
    </w:pPr>
  </w:style>
  <w:style w:type="character" w:styleId="CommentReference">
    <w:name w:val="annotation reference"/>
    <w:basedOn w:val="DefaultParagraphFont"/>
    <w:unhideWhenUsed/>
    <w:rsid w:val="00C22106"/>
    <w:rPr>
      <w:sz w:val="16"/>
      <w:szCs w:val="16"/>
    </w:rPr>
  </w:style>
  <w:style w:type="paragraph" w:styleId="CommentText">
    <w:name w:val="annotation text"/>
    <w:basedOn w:val="Normal"/>
    <w:link w:val="CommentTextChar"/>
    <w:unhideWhenUsed/>
    <w:rsid w:val="00C22106"/>
    <w:pPr>
      <w:spacing w:line="240" w:lineRule="auto"/>
    </w:pPr>
    <w:rPr>
      <w:sz w:val="20"/>
      <w:szCs w:val="20"/>
    </w:rPr>
  </w:style>
  <w:style w:type="character" w:customStyle="1" w:styleId="CommentTextChar">
    <w:name w:val="Comment Text Char"/>
    <w:basedOn w:val="DefaultParagraphFont"/>
    <w:link w:val="CommentText"/>
    <w:rsid w:val="00C22106"/>
    <w:rPr>
      <w:sz w:val="20"/>
      <w:szCs w:val="20"/>
    </w:rPr>
  </w:style>
  <w:style w:type="paragraph" w:styleId="CommentSubject">
    <w:name w:val="annotation subject"/>
    <w:basedOn w:val="CommentText"/>
    <w:next w:val="CommentText"/>
    <w:link w:val="CommentSubjectChar"/>
    <w:uiPriority w:val="99"/>
    <w:semiHidden/>
    <w:unhideWhenUsed/>
    <w:rsid w:val="00C22106"/>
    <w:rPr>
      <w:b/>
      <w:bCs/>
    </w:rPr>
  </w:style>
  <w:style w:type="character" w:customStyle="1" w:styleId="CommentSubjectChar">
    <w:name w:val="Comment Subject Char"/>
    <w:basedOn w:val="CommentTextChar"/>
    <w:link w:val="CommentSubject"/>
    <w:uiPriority w:val="99"/>
    <w:semiHidden/>
    <w:rsid w:val="00C22106"/>
    <w:rPr>
      <w:b/>
      <w:bCs/>
      <w:sz w:val="20"/>
      <w:szCs w:val="20"/>
    </w:rPr>
  </w:style>
  <w:style w:type="paragraph" w:styleId="BalloonText">
    <w:name w:val="Balloon Text"/>
    <w:basedOn w:val="Normal"/>
    <w:link w:val="BalloonTextChar"/>
    <w:uiPriority w:val="99"/>
    <w:semiHidden/>
    <w:unhideWhenUsed/>
    <w:rsid w:val="00C22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106"/>
    <w:rPr>
      <w:rFonts w:ascii="Segoe UI" w:hAnsi="Segoe UI" w:cs="Segoe UI"/>
      <w:sz w:val="18"/>
      <w:szCs w:val="18"/>
    </w:rPr>
  </w:style>
  <w:style w:type="paragraph" w:styleId="Header">
    <w:name w:val="header"/>
    <w:basedOn w:val="Normal"/>
    <w:link w:val="HeaderChar"/>
    <w:uiPriority w:val="99"/>
    <w:unhideWhenUsed/>
    <w:rsid w:val="00CE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93"/>
  </w:style>
  <w:style w:type="paragraph" w:styleId="Footer">
    <w:name w:val="footer"/>
    <w:basedOn w:val="Normal"/>
    <w:link w:val="FooterChar"/>
    <w:uiPriority w:val="99"/>
    <w:unhideWhenUsed/>
    <w:rsid w:val="00CE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93"/>
  </w:style>
  <w:style w:type="character" w:styleId="Hyperlink">
    <w:name w:val="Hyperlink"/>
    <w:basedOn w:val="DefaultParagraphFont"/>
    <w:uiPriority w:val="99"/>
    <w:unhideWhenUsed/>
    <w:rsid w:val="004C6B56"/>
    <w:rPr>
      <w:color w:val="0563C1" w:themeColor="hyperlink"/>
      <w:u w:val="single"/>
    </w:rPr>
  </w:style>
  <w:style w:type="table" w:styleId="TableGrid">
    <w:name w:val="Table Grid"/>
    <w:basedOn w:val="TableNormal"/>
    <w:uiPriority w:val="39"/>
    <w:rsid w:val="0086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
    <w:name w:val="Text Bullet"/>
    <w:basedOn w:val="Normal"/>
    <w:qFormat/>
    <w:rsid w:val="00C72347"/>
    <w:pPr>
      <w:numPr>
        <w:numId w:val="4"/>
      </w:numPr>
      <w:tabs>
        <w:tab w:val="num" w:pos="1080"/>
      </w:tabs>
      <w:overflowPunct w:val="0"/>
      <w:autoSpaceDE w:val="0"/>
      <w:autoSpaceDN w:val="0"/>
      <w:adjustRightInd w:val="0"/>
      <w:spacing w:after="0" w:line="240" w:lineRule="auto"/>
    </w:pPr>
    <w:rPr>
      <w:rFonts w:ascii="Arial" w:eastAsia="Times New Roman" w:hAnsi="Arial" w:cs="Arial"/>
      <w:color w:val="000000"/>
      <w:lang w:eastAsia="en-GB"/>
    </w:rPr>
  </w:style>
  <w:style w:type="character" w:customStyle="1" w:styleId="TablebulletChar">
    <w:name w:val="Table bullet Char"/>
    <w:basedOn w:val="DefaultParagraphFont"/>
    <w:link w:val="Tablebullet"/>
    <w:locked/>
    <w:rsid w:val="00C72347"/>
    <w:rPr>
      <w:rFonts w:ascii="Arial" w:hAnsi="Arial" w:cs="Arial"/>
      <w:color w:val="000000"/>
      <w:sz w:val="18"/>
      <w:szCs w:val="20"/>
    </w:rPr>
  </w:style>
  <w:style w:type="paragraph" w:customStyle="1" w:styleId="Tablebullet">
    <w:name w:val="Table bullet"/>
    <w:basedOn w:val="TextBullet"/>
    <w:link w:val="TablebulletChar"/>
    <w:qFormat/>
    <w:rsid w:val="00C72347"/>
    <w:pPr>
      <w:tabs>
        <w:tab w:val="clear" w:pos="1080"/>
      </w:tabs>
      <w:spacing w:before="60" w:after="60"/>
    </w:pPr>
    <w:rPr>
      <w:rFonts w:eastAsiaTheme="minorHAnsi"/>
      <w:sz w:val="18"/>
      <w:szCs w:val="20"/>
      <w:lang w:eastAsia="en-US"/>
    </w:rPr>
  </w:style>
  <w:style w:type="paragraph" w:customStyle="1" w:styleId="Tablenormal0">
    <w:name w:val="Table normal"/>
    <w:basedOn w:val="Normal"/>
    <w:link w:val="TablenormalChar"/>
    <w:qFormat/>
    <w:rsid w:val="00C72347"/>
    <w:pPr>
      <w:widowControl w:val="0"/>
      <w:spacing w:after="0" w:line="240" w:lineRule="auto"/>
    </w:pPr>
    <w:rPr>
      <w:rFonts w:ascii="Arial" w:eastAsia="Times New Roman" w:hAnsi="Arial" w:cs="Times New Roman"/>
      <w:lang w:eastAsia="en-GB"/>
    </w:rPr>
  </w:style>
  <w:style w:type="character" w:customStyle="1" w:styleId="TablenormalChar">
    <w:name w:val="Table normal Char"/>
    <w:basedOn w:val="DefaultParagraphFont"/>
    <w:link w:val="Tablenormal0"/>
    <w:locked/>
    <w:rsid w:val="00C72347"/>
    <w:rPr>
      <w:rFonts w:ascii="Arial" w:eastAsia="Times New Roman" w:hAnsi="Arial" w:cs="Times New Roman"/>
      <w:lang w:eastAsia="en-GB"/>
    </w:rPr>
  </w:style>
  <w:style w:type="table" w:customStyle="1" w:styleId="Evideratable">
    <w:name w:val="Evidera table"/>
    <w:basedOn w:val="TableProfessional"/>
    <w:rsid w:val="00C72347"/>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table" w:styleId="TableProfessional">
    <w:name w:val="Table Professional"/>
    <w:basedOn w:val="TableNormal"/>
    <w:uiPriority w:val="99"/>
    <w:semiHidden/>
    <w:unhideWhenUsed/>
    <w:rsid w:val="00C723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viFooterChar">
    <w:name w:val="EviFooter Char"/>
    <w:basedOn w:val="DefaultParagraphFont"/>
    <w:link w:val="EviFooter"/>
    <w:locked/>
    <w:rsid w:val="00C72347"/>
    <w:rPr>
      <w:rFonts w:ascii="Arial" w:hAnsi="Arial" w:cs="Arial"/>
      <w:color w:val="808080" w:themeColor="background1" w:themeShade="80"/>
      <w:sz w:val="18"/>
      <w:szCs w:val="24"/>
    </w:rPr>
  </w:style>
  <w:style w:type="paragraph" w:customStyle="1" w:styleId="EviFooter">
    <w:name w:val="EviFooter"/>
    <w:basedOn w:val="Normal"/>
    <w:link w:val="EviFooterChar"/>
    <w:qFormat/>
    <w:rsid w:val="00C72347"/>
    <w:pPr>
      <w:widowControl w:val="0"/>
      <w:spacing w:before="60" w:after="60" w:line="240" w:lineRule="auto"/>
    </w:pPr>
    <w:rPr>
      <w:rFonts w:ascii="Arial" w:hAnsi="Arial" w:cs="Arial"/>
      <w:color w:val="808080" w:themeColor="background1" w:themeShade="80"/>
      <w:sz w:val="18"/>
      <w:szCs w:val="24"/>
    </w:rPr>
  </w:style>
  <w:style w:type="character" w:customStyle="1" w:styleId="Heading1Char">
    <w:name w:val="Heading 1 Char"/>
    <w:basedOn w:val="DefaultParagraphFont"/>
    <w:link w:val="Heading1"/>
    <w:rsid w:val="002B0B60"/>
    <w:rPr>
      <w:rFonts w:ascii="Trebuchet MS" w:eastAsia="Times New Roman" w:hAnsi="Trebuchet MS" w:cs="Arial"/>
      <w:b/>
      <w:caps/>
      <w:color w:val="0096DB"/>
      <w:sz w:val="28"/>
      <w:szCs w:val="28"/>
    </w:rPr>
  </w:style>
  <w:style w:type="character" w:customStyle="1" w:styleId="Heading2Char">
    <w:name w:val="Heading 2 Char"/>
    <w:basedOn w:val="DefaultParagraphFont"/>
    <w:link w:val="Heading2"/>
    <w:rsid w:val="002B0B60"/>
    <w:rPr>
      <w:rFonts w:ascii="Trebuchet MS" w:eastAsia="Times New Roman" w:hAnsi="Trebuchet MS" w:cs="Arial"/>
      <w:b/>
      <w:color w:val="0096DB"/>
      <w:sz w:val="28"/>
      <w:szCs w:val="28"/>
    </w:rPr>
  </w:style>
  <w:style w:type="character" w:customStyle="1" w:styleId="Heading3Char">
    <w:name w:val="Heading 3 Char"/>
    <w:basedOn w:val="DefaultParagraphFont"/>
    <w:link w:val="Heading3"/>
    <w:rsid w:val="002B0B60"/>
    <w:rPr>
      <w:rFonts w:ascii="Trebuchet MS" w:eastAsia="Times New Roman" w:hAnsi="Trebuchet MS" w:cs="Times New Roman"/>
      <w:b/>
    </w:rPr>
  </w:style>
  <w:style w:type="character" w:customStyle="1" w:styleId="Heading4Char">
    <w:name w:val="Heading 4 Char"/>
    <w:basedOn w:val="DefaultParagraphFont"/>
    <w:link w:val="Heading4"/>
    <w:rsid w:val="002B0B60"/>
    <w:rPr>
      <w:rFonts w:ascii="Trebuchet MS" w:eastAsia="Times New Roman" w:hAnsi="Trebuchet MS" w:cs="Times New Roman"/>
      <w:b/>
      <w:bCs/>
      <w:i/>
      <w:szCs w:val="28"/>
      <w:lang w:eastAsia="en-GB"/>
    </w:rPr>
  </w:style>
  <w:style w:type="character" w:customStyle="1" w:styleId="Heading6Char">
    <w:name w:val="Heading 6 Char"/>
    <w:basedOn w:val="DefaultParagraphFont"/>
    <w:link w:val="Heading6"/>
    <w:rsid w:val="002B0B60"/>
    <w:rPr>
      <w:rFonts w:ascii="Times New Roman" w:eastAsia="Times New Roman" w:hAnsi="Times New Roman" w:cs="Times New Roman"/>
      <w:b/>
      <w:bCs/>
    </w:rPr>
  </w:style>
  <w:style w:type="character" w:customStyle="1" w:styleId="Heading7Char">
    <w:name w:val="Heading 7 Char"/>
    <w:basedOn w:val="DefaultParagraphFont"/>
    <w:link w:val="Heading7"/>
    <w:rsid w:val="002B0B60"/>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rsid w:val="002B0B60"/>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rsid w:val="002B0B60"/>
    <w:rPr>
      <w:rFonts w:ascii="Arial" w:eastAsia="Times New Roman" w:hAnsi="Arial" w:cs="Arial"/>
      <w:lang w:eastAsia="en-GB"/>
    </w:rPr>
  </w:style>
  <w:style w:type="paragraph" w:styleId="BodyText">
    <w:name w:val="Body Text"/>
    <w:basedOn w:val="Normal"/>
    <w:link w:val="BodyTextChar"/>
    <w:rsid w:val="002B0B60"/>
    <w:pPr>
      <w:spacing w:after="120" w:line="240" w:lineRule="auto"/>
    </w:pPr>
    <w:rPr>
      <w:rFonts w:ascii="Arial" w:eastAsia="Times New Roman" w:hAnsi="Arial" w:cs="Times New Roman"/>
      <w:color w:val="0D0D0D"/>
      <w:lang w:eastAsia="en-GB"/>
    </w:rPr>
  </w:style>
  <w:style w:type="character" w:customStyle="1" w:styleId="BodyTextChar">
    <w:name w:val="Body Text Char"/>
    <w:basedOn w:val="DefaultParagraphFont"/>
    <w:link w:val="BodyText"/>
    <w:rsid w:val="002B0B60"/>
    <w:rPr>
      <w:rFonts w:ascii="Arial" w:eastAsia="Times New Roman" w:hAnsi="Arial" w:cs="Times New Roman"/>
      <w:color w:val="0D0D0D"/>
      <w:lang w:eastAsia="en-GB"/>
    </w:rPr>
  </w:style>
  <w:style w:type="paragraph" w:styleId="Revision">
    <w:name w:val="Revision"/>
    <w:hidden/>
    <w:uiPriority w:val="99"/>
    <w:semiHidden/>
    <w:rsid w:val="0063708E"/>
    <w:pPr>
      <w:spacing w:after="0" w:line="240" w:lineRule="auto"/>
    </w:pPr>
  </w:style>
  <w:style w:type="paragraph" w:customStyle="1" w:styleId="Default">
    <w:name w:val="Default"/>
    <w:rsid w:val="004A22A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655E8"/>
    <w:rPr>
      <w:color w:val="808080"/>
      <w:shd w:val="clear" w:color="auto" w:fill="E6E6E6"/>
    </w:rPr>
  </w:style>
  <w:style w:type="paragraph" w:styleId="Bibliography">
    <w:name w:val="Bibliography"/>
    <w:basedOn w:val="Normal"/>
    <w:next w:val="Normal"/>
    <w:uiPriority w:val="37"/>
    <w:unhideWhenUsed/>
    <w:rsid w:val="00052D0E"/>
  </w:style>
  <w:style w:type="character" w:customStyle="1" w:styleId="ListParagraphChar">
    <w:name w:val="List Paragraph Char"/>
    <w:basedOn w:val="DefaultParagraphFont"/>
    <w:link w:val="ListParagraph"/>
    <w:uiPriority w:val="34"/>
    <w:rsid w:val="007A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476">
      <w:bodyDiv w:val="1"/>
      <w:marLeft w:val="0"/>
      <w:marRight w:val="0"/>
      <w:marTop w:val="0"/>
      <w:marBottom w:val="0"/>
      <w:divBdr>
        <w:top w:val="none" w:sz="0" w:space="0" w:color="auto"/>
        <w:left w:val="none" w:sz="0" w:space="0" w:color="auto"/>
        <w:bottom w:val="none" w:sz="0" w:space="0" w:color="auto"/>
        <w:right w:val="none" w:sz="0" w:space="0" w:color="auto"/>
      </w:divBdr>
    </w:div>
    <w:div w:id="293800599">
      <w:bodyDiv w:val="1"/>
      <w:marLeft w:val="0"/>
      <w:marRight w:val="0"/>
      <w:marTop w:val="0"/>
      <w:marBottom w:val="0"/>
      <w:divBdr>
        <w:top w:val="none" w:sz="0" w:space="0" w:color="auto"/>
        <w:left w:val="none" w:sz="0" w:space="0" w:color="auto"/>
        <w:bottom w:val="none" w:sz="0" w:space="0" w:color="auto"/>
        <w:right w:val="none" w:sz="0" w:space="0" w:color="auto"/>
      </w:divBdr>
    </w:div>
    <w:div w:id="840656615">
      <w:bodyDiv w:val="1"/>
      <w:marLeft w:val="0"/>
      <w:marRight w:val="0"/>
      <w:marTop w:val="0"/>
      <w:marBottom w:val="0"/>
      <w:divBdr>
        <w:top w:val="none" w:sz="0" w:space="0" w:color="auto"/>
        <w:left w:val="none" w:sz="0" w:space="0" w:color="auto"/>
        <w:bottom w:val="none" w:sz="0" w:space="0" w:color="auto"/>
        <w:right w:val="none" w:sz="0" w:space="0" w:color="auto"/>
      </w:divBdr>
    </w:div>
    <w:div w:id="904529946">
      <w:bodyDiv w:val="1"/>
      <w:marLeft w:val="0"/>
      <w:marRight w:val="0"/>
      <w:marTop w:val="0"/>
      <w:marBottom w:val="0"/>
      <w:divBdr>
        <w:top w:val="none" w:sz="0" w:space="0" w:color="auto"/>
        <w:left w:val="none" w:sz="0" w:space="0" w:color="auto"/>
        <w:bottom w:val="none" w:sz="0" w:space="0" w:color="auto"/>
        <w:right w:val="none" w:sz="0" w:space="0" w:color="auto"/>
      </w:divBdr>
    </w:div>
    <w:div w:id="1103452419">
      <w:bodyDiv w:val="1"/>
      <w:marLeft w:val="0"/>
      <w:marRight w:val="0"/>
      <w:marTop w:val="0"/>
      <w:marBottom w:val="0"/>
      <w:divBdr>
        <w:top w:val="none" w:sz="0" w:space="0" w:color="auto"/>
        <w:left w:val="none" w:sz="0" w:space="0" w:color="auto"/>
        <w:bottom w:val="none" w:sz="0" w:space="0" w:color="auto"/>
        <w:right w:val="none" w:sz="0" w:space="0" w:color="auto"/>
      </w:divBdr>
    </w:div>
    <w:div w:id="1176766175">
      <w:bodyDiv w:val="1"/>
      <w:marLeft w:val="0"/>
      <w:marRight w:val="0"/>
      <w:marTop w:val="0"/>
      <w:marBottom w:val="0"/>
      <w:divBdr>
        <w:top w:val="none" w:sz="0" w:space="0" w:color="auto"/>
        <w:left w:val="none" w:sz="0" w:space="0" w:color="auto"/>
        <w:bottom w:val="none" w:sz="0" w:space="0" w:color="auto"/>
        <w:right w:val="none" w:sz="0" w:space="0" w:color="auto"/>
      </w:divBdr>
    </w:div>
    <w:div w:id="1356537671">
      <w:bodyDiv w:val="1"/>
      <w:marLeft w:val="0"/>
      <w:marRight w:val="0"/>
      <w:marTop w:val="0"/>
      <w:marBottom w:val="0"/>
      <w:divBdr>
        <w:top w:val="none" w:sz="0" w:space="0" w:color="auto"/>
        <w:left w:val="none" w:sz="0" w:space="0" w:color="auto"/>
        <w:bottom w:val="none" w:sz="0" w:space="0" w:color="auto"/>
        <w:right w:val="none" w:sz="0" w:space="0" w:color="auto"/>
      </w:divBdr>
      <w:divsChild>
        <w:div w:id="104348877">
          <w:marLeft w:val="0"/>
          <w:marRight w:val="0"/>
          <w:marTop w:val="0"/>
          <w:marBottom w:val="0"/>
          <w:divBdr>
            <w:top w:val="none" w:sz="0" w:space="0" w:color="auto"/>
            <w:left w:val="none" w:sz="0" w:space="0" w:color="auto"/>
            <w:bottom w:val="none" w:sz="0" w:space="0" w:color="auto"/>
            <w:right w:val="none" w:sz="0" w:space="0" w:color="auto"/>
          </w:divBdr>
          <w:divsChild>
            <w:div w:id="10974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3325">
      <w:bodyDiv w:val="1"/>
      <w:marLeft w:val="0"/>
      <w:marRight w:val="0"/>
      <w:marTop w:val="0"/>
      <w:marBottom w:val="0"/>
      <w:divBdr>
        <w:top w:val="none" w:sz="0" w:space="0" w:color="auto"/>
        <w:left w:val="none" w:sz="0" w:space="0" w:color="auto"/>
        <w:bottom w:val="none" w:sz="0" w:space="0" w:color="auto"/>
        <w:right w:val="none" w:sz="0" w:space="0" w:color="auto"/>
      </w:divBdr>
    </w:div>
    <w:div w:id="1660572345">
      <w:bodyDiv w:val="1"/>
      <w:marLeft w:val="0"/>
      <w:marRight w:val="0"/>
      <w:marTop w:val="0"/>
      <w:marBottom w:val="0"/>
      <w:divBdr>
        <w:top w:val="none" w:sz="0" w:space="0" w:color="auto"/>
        <w:left w:val="none" w:sz="0" w:space="0" w:color="auto"/>
        <w:bottom w:val="none" w:sz="0" w:space="0" w:color="auto"/>
        <w:right w:val="none" w:sz="0" w:space="0" w:color="auto"/>
      </w:divBdr>
    </w:div>
    <w:div w:id="1684553966">
      <w:bodyDiv w:val="1"/>
      <w:marLeft w:val="0"/>
      <w:marRight w:val="0"/>
      <w:marTop w:val="0"/>
      <w:marBottom w:val="0"/>
      <w:divBdr>
        <w:top w:val="none" w:sz="0" w:space="0" w:color="auto"/>
        <w:left w:val="none" w:sz="0" w:space="0" w:color="auto"/>
        <w:bottom w:val="none" w:sz="0" w:space="0" w:color="auto"/>
        <w:right w:val="none" w:sz="0" w:space="0" w:color="auto"/>
      </w:divBdr>
    </w:div>
    <w:div w:id="1782844572">
      <w:bodyDiv w:val="1"/>
      <w:marLeft w:val="0"/>
      <w:marRight w:val="0"/>
      <w:marTop w:val="0"/>
      <w:marBottom w:val="0"/>
      <w:divBdr>
        <w:top w:val="none" w:sz="0" w:space="0" w:color="auto"/>
        <w:left w:val="none" w:sz="0" w:space="0" w:color="auto"/>
        <w:bottom w:val="none" w:sz="0" w:space="0" w:color="auto"/>
        <w:right w:val="none" w:sz="0" w:space="0" w:color="auto"/>
      </w:divBdr>
    </w:div>
    <w:div w:id="1786198046">
      <w:bodyDiv w:val="1"/>
      <w:marLeft w:val="0"/>
      <w:marRight w:val="0"/>
      <w:marTop w:val="0"/>
      <w:marBottom w:val="0"/>
      <w:divBdr>
        <w:top w:val="none" w:sz="0" w:space="0" w:color="auto"/>
        <w:left w:val="none" w:sz="0" w:space="0" w:color="auto"/>
        <w:bottom w:val="none" w:sz="0" w:space="0" w:color="auto"/>
        <w:right w:val="none" w:sz="0" w:space="0" w:color="auto"/>
      </w:divBdr>
      <w:divsChild>
        <w:div w:id="598684227">
          <w:marLeft w:val="0"/>
          <w:marRight w:val="0"/>
          <w:marTop w:val="0"/>
          <w:marBottom w:val="0"/>
          <w:divBdr>
            <w:top w:val="none" w:sz="0" w:space="0" w:color="auto"/>
            <w:left w:val="none" w:sz="0" w:space="0" w:color="auto"/>
            <w:bottom w:val="none" w:sz="0" w:space="0" w:color="auto"/>
            <w:right w:val="none" w:sz="0" w:space="0" w:color="auto"/>
          </w:divBdr>
          <w:divsChild>
            <w:div w:id="4352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8DF3E044294C9465AA859FBE1EA6" ma:contentTypeVersion="8" ma:contentTypeDescription="Create a new document." ma:contentTypeScope="" ma:versionID="86b0a4977e683d8798979c6b30062dae">
  <xsd:schema xmlns:xsd="http://www.w3.org/2001/XMLSchema" xmlns:xs="http://www.w3.org/2001/XMLSchema" xmlns:p="http://schemas.microsoft.com/office/2006/metadata/properties" xmlns:ns3="f481e5b3-e0a4-4bac-ba48-89ab5e955d81" targetNamespace="http://schemas.microsoft.com/office/2006/metadata/properties" ma:root="true" ma:fieldsID="f9e0f3f381d2bb0bb715ff2299e7515d" ns3:_="">
    <xsd:import namespace="f481e5b3-e0a4-4bac-ba48-89ab5e955d81"/>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e5b3-e0a4-4bac-ba48-89ab5e955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81e5b3-e0a4-4bac-ba48-89ab5e955d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723C7-37D4-4DCD-9C40-32627FA54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e5b3-e0a4-4bac-ba48-89ab5e955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9D044-6DFB-4317-99BD-EE226CE4EBE2}">
  <ds:schemaRefs>
    <ds:schemaRef ds:uri="http://schemas.microsoft.com/sharepoint/v3/contenttype/forms"/>
  </ds:schemaRefs>
</ds:datastoreItem>
</file>

<file path=customXml/itemProps3.xml><?xml version="1.0" encoding="utf-8"?>
<ds:datastoreItem xmlns:ds="http://schemas.openxmlformats.org/officeDocument/2006/customXml" ds:itemID="{A1AD4E9F-B6BA-4382-B07E-88479DB7B60A}">
  <ds:schemaRefs>
    <ds:schemaRef ds:uri="http://schemas.microsoft.com/office/2006/metadata/properties"/>
    <ds:schemaRef ds:uri="http://schemas.microsoft.com/office/infopath/2007/PartnerControls"/>
    <ds:schemaRef ds:uri="f481e5b3-e0a4-4bac-ba48-89ab5e955d81"/>
  </ds:schemaRefs>
</ds:datastoreItem>
</file>

<file path=customXml/itemProps4.xml><?xml version="1.0" encoding="utf-8"?>
<ds:datastoreItem xmlns:ds="http://schemas.openxmlformats.org/officeDocument/2006/customXml" ds:itemID="{BBCC1716-ACF8-4703-817F-5BC38996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2023-11-16T19:47:00Z</dcterms:created>
  <dcterms:modified xsi:type="dcterms:W3CDTF">2023-11-16T19:47:00Z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0x01010035CD8DF3E044294C9465AA859FBE1EA6</vt:lpwstr>
  </property>
</Properties>
</file>